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B0FE5" w14:textId="0DA565FC" w:rsidR="001A1892" w:rsidRPr="003B1AF1" w:rsidRDefault="001A1892" w:rsidP="00D26344">
      <w:pPr>
        <w:pStyle w:val="MDPI12title"/>
        <w:ind w:left="-284"/>
      </w:pPr>
      <w:r>
        <w:t xml:space="preserve">Supplementary Materials for </w:t>
      </w:r>
      <w:r w:rsidR="0015784D">
        <w:t>“</w:t>
      </w:r>
      <w:r w:rsidRPr="00EC30CD">
        <w:t>Assessment tasks and virtual exergames for remote monitoring of Parkinson’s disease: an integrated approach based on Azure Kinect</w:t>
      </w:r>
      <w:r>
        <w:t>.</w:t>
      </w:r>
      <w:r w:rsidR="0015784D">
        <w:t>”</w:t>
      </w:r>
    </w:p>
    <w:p w14:paraId="53DAD2F6" w14:textId="0CDC1C55" w:rsidR="00B90978" w:rsidRPr="001A1892" w:rsidRDefault="00B90978">
      <w:pPr>
        <w:rPr>
          <w:lang w:val="en-US"/>
        </w:rPr>
      </w:pPr>
    </w:p>
    <w:p w14:paraId="082D47D0" w14:textId="1E8C86E8" w:rsidR="00B90978" w:rsidRDefault="0015784D" w:rsidP="00D26344">
      <w:pPr>
        <w:pStyle w:val="MDPI12title"/>
        <w:numPr>
          <w:ilvl w:val="0"/>
          <w:numId w:val="1"/>
        </w:numPr>
        <w:ind w:left="142" w:hanging="426"/>
      </w:pPr>
      <w:r>
        <w:t>Exergames configuration parameters</w:t>
      </w:r>
    </w:p>
    <w:p w14:paraId="102031AD" w14:textId="0E838670" w:rsidR="0015784D" w:rsidRPr="0015784D" w:rsidRDefault="0015784D" w:rsidP="00D26344">
      <w:pPr>
        <w:ind w:firstLine="360"/>
        <w:jc w:val="both"/>
        <w:rPr>
          <w:rFonts w:ascii="Palatino Linotype" w:hAnsi="Palatino Linotype"/>
          <w:sz w:val="20"/>
          <w:szCs w:val="20"/>
          <w:lang w:val="en-US" w:eastAsia="de-DE" w:bidi="en-US"/>
        </w:rPr>
      </w:pPr>
      <w:r>
        <w:rPr>
          <w:rFonts w:ascii="Palatino Linotype" w:hAnsi="Palatino Linotype"/>
          <w:sz w:val="20"/>
          <w:szCs w:val="20"/>
          <w:lang w:val="en-US" w:eastAsia="de-DE" w:bidi="en-US"/>
        </w:rPr>
        <w:t xml:space="preserve">The three exergames described in the paper can be configured according to a series of parameters set by clinicians. This allows proper tuning of the game according to the health status and the </w:t>
      </w:r>
      <w:r w:rsidR="006E408A">
        <w:rPr>
          <w:rFonts w:ascii="Palatino Linotype" w:hAnsi="Palatino Linotype"/>
          <w:sz w:val="20"/>
          <w:szCs w:val="20"/>
          <w:lang w:val="en-US" w:eastAsia="de-DE" w:bidi="en-US"/>
        </w:rPr>
        <w:t xml:space="preserve">rehabilitation goals of the subject. Table </w:t>
      </w:r>
      <w:r w:rsidR="00E47C82">
        <w:rPr>
          <w:rFonts w:ascii="Palatino Linotype" w:hAnsi="Palatino Linotype"/>
          <w:sz w:val="20"/>
          <w:szCs w:val="20"/>
          <w:lang w:val="en-US" w:eastAsia="de-DE" w:bidi="en-US"/>
        </w:rPr>
        <w:t>S.</w:t>
      </w:r>
      <w:r w:rsidR="006E408A">
        <w:rPr>
          <w:rFonts w:ascii="Palatino Linotype" w:hAnsi="Palatino Linotype"/>
          <w:sz w:val="20"/>
          <w:szCs w:val="20"/>
          <w:lang w:val="en-US" w:eastAsia="de-DE" w:bidi="en-US"/>
        </w:rPr>
        <w:t>1 reports the complete list with meaning. Each parameter has three possible values that can be selected by the clinician (EASY, MEDIUM, HARD) that are automatically mapped on real values used in the game (the unit is reported in the table as well).</w:t>
      </w:r>
    </w:p>
    <w:p w14:paraId="132FC0CD" w14:textId="6E496B8E" w:rsidR="0015784D" w:rsidRDefault="008602D5" w:rsidP="006B4528">
      <w:pPr>
        <w:pStyle w:val="MDPI41tablecaption"/>
        <w:ind w:left="0"/>
        <w:jc w:val="both"/>
      </w:pPr>
      <w:r>
        <w:rPr>
          <w:b/>
        </w:rPr>
        <w:t xml:space="preserve">Table </w:t>
      </w:r>
      <w:r w:rsidR="00E47C82">
        <w:rPr>
          <w:b/>
        </w:rPr>
        <w:t>S.</w:t>
      </w:r>
      <w:r>
        <w:rPr>
          <w:b/>
        </w:rPr>
        <w:t>1</w:t>
      </w:r>
      <w:r w:rsidRPr="00325902">
        <w:rPr>
          <w:b/>
        </w:rPr>
        <w:t>.</w:t>
      </w:r>
      <w:r w:rsidRPr="00325902">
        <w:t xml:space="preserve"> </w:t>
      </w:r>
      <w:r>
        <w:t xml:space="preserve"> List of configuration parameters for virtual exergames</w:t>
      </w:r>
      <w:r w:rsidRPr="00325902">
        <w:t>.</w:t>
      </w:r>
    </w:p>
    <w:tbl>
      <w:tblPr>
        <w:tblW w:w="7994" w:type="dxa"/>
        <w:jc w:val="center"/>
        <w:tblBorders>
          <w:top w:val="single" w:sz="8" w:space="0" w:color="auto"/>
          <w:bottom w:val="single" w:sz="8" w:space="0" w:color="auto"/>
        </w:tblBorders>
        <w:tblLayout w:type="fixed"/>
        <w:tblCellMar>
          <w:top w:w="57" w:type="dxa"/>
          <w:left w:w="57" w:type="dxa"/>
          <w:bottom w:w="57" w:type="dxa"/>
          <w:right w:w="57" w:type="dxa"/>
        </w:tblCellMar>
        <w:tblLook w:val="04A0" w:firstRow="1" w:lastRow="0" w:firstColumn="1" w:lastColumn="0" w:noHBand="0" w:noVBand="1"/>
      </w:tblPr>
      <w:tblGrid>
        <w:gridCol w:w="1134"/>
        <w:gridCol w:w="1276"/>
        <w:gridCol w:w="4677"/>
        <w:gridCol w:w="907"/>
      </w:tblGrid>
      <w:tr w:rsidR="0015784D" w:rsidRPr="00EF08AF" w14:paraId="4C32099E" w14:textId="77777777" w:rsidTr="0015784D">
        <w:trPr>
          <w:jc w:val="center"/>
        </w:trPr>
        <w:tc>
          <w:tcPr>
            <w:tcW w:w="1134" w:type="dxa"/>
            <w:tcBorders>
              <w:bottom w:val="single" w:sz="4" w:space="0" w:color="auto"/>
            </w:tcBorders>
            <w:shd w:val="clear" w:color="auto" w:fill="auto"/>
            <w:vAlign w:val="center"/>
          </w:tcPr>
          <w:p w14:paraId="59533BA6" w14:textId="77777777" w:rsidR="008602D5" w:rsidRPr="00EA5805" w:rsidRDefault="008602D5" w:rsidP="006B4528">
            <w:pPr>
              <w:pStyle w:val="MDPI42tablebody"/>
              <w:spacing w:line="240" w:lineRule="auto"/>
              <w:jc w:val="both"/>
              <w:rPr>
                <w:b/>
                <w:snapToGrid/>
                <w:sz w:val="18"/>
                <w:szCs w:val="18"/>
              </w:rPr>
            </w:pPr>
            <w:r>
              <w:rPr>
                <w:b/>
                <w:snapToGrid/>
                <w:sz w:val="18"/>
                <w:szCs w:val="18"/>
              </w:rPr>
              <w:t>Exergame</w:t>
            </w:r>
          </w:p>
        </w:tc>
        <w:tc>
          <w:tcPr>
            <w:tcW w:w="1276" w:type="dxa"/>
            <w:tcBorders>
              <w:bottom w:val="single" w:sz="4" w:space="0" w:color="auto"/>
            </w:tcBorders>
            <w:shd w:val="clear" w:color="auto" w:fill="auto"/>
            <w:vAlign w:val="center"/>
          </w:tcPr>
          <w:p w14:paraId="6924264B" w14:textId="77777777" w:rsidR="008602D5" w:rsidRPr="00EA5805" w:rsidRDefault="008602D5" w:rsidP="006B4528">
            <w:pPr>
              <w:pStyle w:val="MDPI42tablebody"/>
              <w:spacing w:line="240" w:lineRule="auto"/>
              <w:jc w:val="both"/>
              <w:rPr>
                <w:b/>
                <w:snapToGrid/>
                <w:sz w:val="18"/>
                <w:szCs w:val="18"/>
              </w:rPr>
            </w:pPr>
            <w:r>
              <w:rPr>
                <w:b/>
                <w:snapToGrid/>
                <w:sz w:val="18"/>
                <w:szCs w:val="18"/>
              </w:rPr>
              <w:t>Parameter</w:t>
            </w:r>
          </w:p>
        </w:tc>
        <w:tc>
          <w:tcPr>
            <w:tcW w:w="4677" w:type="dxa"/>
            <w:tcBorders>
              <w:bottom w:val="single" w:sz="4" w:space="0" w:color="auto"/>
            </w:tcBorders>
            <w:shd w:val="clear" w:color="auto" w:fill="auto"/>
            <w:vAlign w:val="center"/>
          </w:tcPr>
          <w:p w14:paraId="2ADE0707" w14:textId="77777777" w:rsidR="008602D5" w:rsidRPr="00EA5805" w:rsidRDefault="008602D5" w:rsidP="006B4528">
            <w:pPr>
              <w:pStyle w:val="MDPI42tablebody"/>
              <w:spacing w:line="240" w:lineRule="auto"/>
              <w:jc w:val="both"/>
              <w:rPr>
                <w:b/>
                <w:snapToGrid/>
                <w:sz w:val="18"/>
                <w:szCs w:val="18"/>
              </w:rPr>
            </w:pPr>
            <w:r>
              <w:rPr>
                <w:b/>
                <w:snapToGrid/>
                <w:sz w:val="18"/>
                <w:szCs w:val="18"/>
              </w:rPr>
              <w:t>Meaning</w:t>
            </w:r>
          </w:p>
        </w:tc>
        <w:tc>
          <w:tcPr>
            <w:tcW w:w="907" w:type="dxa"/>
            <w:tcBorders>
              <w:bottom w:val="single" w:sz="4" w:space="0" w:color="auto"/>
            </w:tcBorders>
            <w:vAlign w:val="center"/>
          </w:tcPr>
          <w:p w14:paraId="22C07415" w14:textId="77777777" w:rsidR="008602D5" w:rsidRPr="00EA5805" w:rsidRDefault="008602D5" w:rsidP="006B4528">
            <w:pPr>
              <w:pStyle w:val="MDPI42tablebody"/>
              <w:spacing w:line="240" w:lineRule="auto"/>
              <w:jc w:val="both"/>
              <w:rPr>
                <w:b/>
                <w:snapToGrid/>
                <w:sz w:val="18"/>
                <w:szCs w:val="18"/>
              </w:rPr>
            </w:pPr>
            <w:r>
              <w:rPr>
                <w:b/>
                <w:snapToGrid/>
                <w:sz w:val="18"/>
                <w:szCs w:val="18"/>
              </w:rPr>
              <w:t>Unit</w:t>
            </w:r>
          </w:p>
        </w:tc>
      </w:tr>
      <w:tr w:rsidR="0015784D" w:rsidRPr="00EF08AF" w14:paraId="3B92C060" w14:textId="77777777" w:rsidTr="0015784D">
        <w:trPr>
          <w:jc w:val="center"/>
        </w:trPr>
        <w:tc>
          <w:tcPr>
            <w:tcW w:w="1134" w:type="dxa"/>
            <w:shd w:val="clear" w:color="auto" w:fill="auto"/>
            <w:vAlign w:val="center"/>
          </w:tcPr>
          <w:p w14:paraId="36A7D0E2" w14:textId="77777777" w:rsidR="008602D5" w:rsidRPr="004C337D" w:rsidRDefault="008602D5" w:rsidP="006B4528">
            <w:pPr>
              <w:pStyle w:val="MDPI42tablebody"/>
              <w:spacing w:line="240" w:lineRule="auto"/>
              <w:jc w:val="both"/>
              <w:rPr>
                <w:color w:val="000000" w:themeColor="text1"/>
                <w:sz w:val="18"/>
                <w:szCs w:val="18"/>
              </w:rPr>
            </w:pPr>
            <w:r w:rsidRPr="004C337D">
              <w:rPr>
                <w:color w:val="000000" w:themeColor="text1"/>
              </w:rPr>
              <w:t>LWL</w:t>
            </w:r>
            <w:r>
              <w:rPr>
                <w:color w:val="000000" w:themeColor="text1"/>
              </w:rPr>
              <w:t>/FWL</w:t>
            </w:r>
          </w:p>
        </w:tc>
        <w:tc>
          <w:tcPr>
            <w:tcW w:w="1276" w:type="dxa"/>
            <w:shd w:val="clear" w:color="auto" w:fill="auto"/>
            <w:vAlign w:val="center"/>
          </w:tcPr>
          <w:p w14:paraId="5F0549D0" w14:textId="77777777" w:rsidR="008602D5" w:rsidRPr="004C337D" w:rsidRDefault="008602D5" w:rsidP="006B4528">
            <w:pPr>
              <w:pStyle w:val="MDPI42tablebody"/>
              <w:spacing w:line="240" w:lineRule="auto"/>
              <w:jc w:val="both"/>
              <w:rPr>
                <w:color w:val="000000" w:themeColor="text1"/>
                <w:sz w:val="18"/>
                <w:szCs w:val="18"/>
                <w:vertAlign w:val="subscript"/>
              </w:rPr>
            </w:pPr>
            <w:r w:rsidRPr="004C337D">
              <w:rPr>
                <w:color w:val="000000" w:themeColor="text1"/>
                <w:sz w:val="18"/>
                <w:szCs w:val="18"/>
              </w:rPr>
              <w:t>ARM</w:t>
            </w:r>
            <w:r w:rsidRPr="004C337D">
              <w:rPr>
                <w:color w:val="000000" w:themeColor="text1"/>
                <w:sz w:val="18"/>
                <w:szCs w:val="18"/>
                <w:vertAlign w:val="subscript"/>
              </w:rPr>
              <w:t>MOV</w:t>
            </w:r>
          </w:p>
        </w:tc>
        <w:tc>
          <w:tcPr>
            <w:tcW w:w="4677" w:type="dxa"/>
            <w:shd w:val="clear" w:color="auto" w:fill="auto"/>
            <w:vAlign w:val="center"/>
          </w:tcPr>
          <w:p w14:paraId="68ED96FD" w14:textId="1004D363" w:rsidR="008602D5" w:rsidRPr="004C337D" w:rsidRDefault="008602D5" w:rsidP="006B4528">
            <w:pPr>
              <w:pStyle w:val="MDPI42tablebody"/>
              <w:spacing w:line="240" w:lineRule="auto"/>
              <w:jc w:val="both"/>
              <w:rPr>
                <w:color w:val="000000" w:themeColor="text1"/>
                <w:sz w:val="18"/>
                <w:szCs w:val="18"/>
              </w:rPr>
            </w:pPr>
            <w:r w:rsidRPr="004C337D">
              <w:rPr>
                <w:color w:val="000000" w:themeColor="text1"/>
                <w:sz w:val="18"/>
                <w:szCs w:val="18"/>
              </w:rPr>
              <w:t xml:space="preserve">Number </w:t>
            </w:r>
            <w:proofErr w:type="gramStart"/>
            <w:r w:rsidRPr="004C337D">
              <w:rPr>
                <w:color w:val="000000" w:themeColor="text1"/>
                <w:sz w:val="18"/>
                <w:szCs w:val="18"/>
              </w:rPr>
              <w:t>of  movements</w:t>
            </w:r>
            <w:proofErr w:type="gramEnd"/>
            <w:r w:rsidRPr="004C337D">
              <w:rPr>
                <w:color w:val="000000" w:themeColor="text1"/>
                <w:sz w:val="18"/>
                <w:szCs w:val="18"/>
              </w:rPr>
              <w:t xml:space="preserve"> to complete the game level</w:t>
            </w:r>
          </w:p>
        </w:tc>
        <w:tc>
          <w:tcPr>
            <w:tcW w:w="907" w:type="dxa"/>
            <w:vAlign w:val="center"/>
          </w:tcPr>
          <w:p w14:paraId="7DC64D5C" w14:textId="77777777" w:rsidR="008602D5" w:rsidRPr="004C337D" w:rsidRDefault="008602D5" w:rsidP="006B4528">
            <w:pPr>
              <w:pStyle w:val="MDPI42tablebody"/>
              <w:spacing w:line="240" w:lineRule="auto"/>
              <w:jc w:val="both"/>
              <w:rPr>
                <w:color w:val="000000" w:themeColor="text1"/>
                <w:sz w:val="18"/>
                <w:szCs w:val="18"/>
              </w:rPr>
            </w:pPr>
            <w:r w:rsidRPr="004C337D">
              <w:rPr>
                <w:color w:val="000000" w:themeColor="text1"/>
                <w:sz w:val="18"/>
                <w:szCs w:val="18"/>
              </w:rPr>
              <w:t>#</w:t>
            </w:r>
          </w:p>
        </w:tc>
      </w:tr>
      <w:tr w:rsidR="0015784D" w:rsidRPr="00EF08AF" w14:paraId="3E8CA34E" w14:textId="77777777" w:rsidTr="0015784D">
        <w:trPr>
          <w:jc w:val="center"/>
        </w:trPr>
        <w:tc>
          <w:tcPr>
            <w:tcW w:w="1134" w:type="dxa"/>
            <w:tcBorders>
              <w:bottom w:val="nil"/>
            </w:tcBorders>
            <w:shd w:val="clear" w:color="auto" w:fill="auto"/>
            <w:vAlign w:val="center"/>
          </w:tcPr>
          <w:p w14:paraId="07EB09C1" w14:textId="77777777" w:rsidR="008602D5" w:rsidRPr="004C337D" w:rsidRDefault="008602D5" w:rsidP="006B4528">
            <w:pPr>
              <w:pStyle w:val="MDPI42tablebody"/>
              <w:spacing w:line="240" w:lineRule="auto"/>
              <w:jc w:val="both"/>
              <w:rPr>
                <w:color w:val="000000" w:themeColor="text1"/>
                <w:sz w:val="18"/>
                <w:szCs w:val="18"/>
              </w:rPr>
            </w:pPr>
          </w:p>
        </w:tc>
        <w:tc>
          <w:tcPr>
            <w:tcW w:w="1276" w:type="dxa"/>
            <w:tcBorders>
              <w:bottom w:val="nil"/>
            </w:tcBorders>
            <w:shd w:val="clear" w:color="auto" w:fill="auto"/>
            <w:vAlign w:val="center"/>
          </w:tcPr>
          <w:p w14:paraId="5EE1F3A6" w14:textId="77777777" w:rsidR="008602D5" w:rsidRPr="004C337D" w:rsidRDefault="008602D5" w:rsidP="006B4528">
            <w:pPr>
              <w:pStyle w:val="MDPI42tablebody"/>
              <w:spacing w:line="240" w:lineRule="auto"/>
              <w:jc w:val="both"/>
              <w:rPr>
                <w:color w:val="000000" w:themeColor="text1"/>
                <w:sz w:val="18"/>
                <w:szCs w:val="18"/>
                <w:vertAlign w:val="subscript"/>
              </w:rPr>
            </w:pPr>
            <w:r w:rsidRPr="004C337D">
              <w:rPr>
                <w:color w:val="000000" w:themeColor="text1"/>
                <w:sz w:val="18"/>
                <w:szCs w:val="18"/>
              </w:rPr>
              <w:t>ARM</w:t>
            </w:r>
            <w:r w:rsidRPr="004C337D">
              <w:rPr>
                <w:color w:val="000000" w:themeColor="text1"/>
                <w:sz w:val="18"/>
                <w:szCs w:val="18"/>
                <w:vertAlign w:val="subscript"/>
              </w:rPr>
              <w:t>MINANG</w:t>
            </w:r>
          </w:p>
        </w:tc>
        <w:tc>
          <w:tcPr>
            <w:tcW w:w="4677" w:type="dxa"/>
            <w:tcBorders>
              <w:bottom w:val="nil"/>
            </w:tcBorders>
            <w:shd w:val="clear" w:color="auto" w:fill="auto"/>
            <w:vAlign w:val="center"/>
          </w:tcPr>
          <w:p w14:paraId="1D4D0C89" w14:textId="519CA679" w:rsidR="008602D5" w:rsidRPr="004C337D" w:rsidRDefault="008602D5" w:rsidP="006B4528">
            <w:pPr>
              <w:pStyle w:val="MDPI42tablebody"/>
              <w:spacing w:line="240" w:lineRule="auto"/>
              <w:jc w:val="both"/>
              <w:rPr>
                <w:color w:val="000000" w:themeColor="text1"/>
                <w:sz w:val="18"/>
                <w:szCs w:val="18"/>
              </w:rPr>
            </w:pPr>
            <w:r w:rsidRPr="004C337D">
              <w:rPr>
                <w:color w:val="000000" w:themeColor="text1"/>
                <w:sz w:val="18"/>
                <w:szCs w:val="18"/>
              </w:rPr>
              <w:t xml:space="preserve">Minimum </w:t>
            </w:r>
            <w:r>
              <w:rPr>
                <w:color w:val="000000" w:themeColor="text1"/>
                <w:sz w:val="18"/>
                <w:szCs w:val="18"/>
              </w:rPr>
              <w:t>arm angle</w:t>
            </w:r>
            <w:r w:rsidRPr="004C337D">
              <w:rPr>
                <w:color w:val="000000" w:themeColor="text1"/>
                <w:sz w:val="18"/>
                <w:szCs w:val="18"/>
              </w:rPr>
              <w:t xml:space="preserve"> for “good” move</w:t>
            </w:r>
            <w:r>
              <w:rPr>
                <w:color w:val="000000" w:themeColor="text1"/>
                <w:sz w:val="18"/>
                <w:szCs w:val="18"/>
              </w:rPr>
              <w:t>ment</w:t>
            </w:r>
            <w:r w:rsidR="00E47C82">
              <w:rPr>
                <w:color w:val="000000" w:themeColor="text1"/>
                <w:sz w:val="18"/>
                <w:szCs w:val="18"/>
              </w:rPr>
              <w:t>s</w:t>
            </w:r>
          </w:p>
        </w:tc>
        <w:tc>
          <w:tcPr>
            <w:tcW w:w="907" w:type="dxa"/>
            <w:tcBorders>
              <w:bottom w:val="nil"/>
            </w:tcBorders>
            <w:vAlign w:val="center"/>
          </w:tcPr>
          <w:p w14:paraId="2FE6A675" w14:textId="77777777" w:rsidR="008602D5" w:rsidRPr="004C337D" w:rsidRDefault="008602D5" w:rsidP="006B4528">
            <w:pPr>
              <w:pStyle w:val="MDPI42tablebody"/>
              <w:spacing w:line="240" w:lineRule="auto"/>
              <w:jc w:val="both"/>
              <w:rPr>
                <w:color w:val="000000" w:themeColor="text1"/>
                <w:sz w:val="18"/>
                <w:szCs w:val="18"/>
              </w:rPr>
            </w:pPr>
            <w:r>
              <w:rPr>
                <w:color w:val="000000" w:themeColor="text1"/>
                <w:sz w:val="18"/>
                <w:szCs w:val="18"/>
              </w:rPr>
              <w:t>d</w:t>
            </w:r>
            <w:r w:rsidRPr="004C337D">
              <w:rPr>
                <w:color w:val="000000" w:themeColor="text1"/>
                <w:sz w:val="18"/>
                <w:szCs w:val="18"/>
              </w:rPr>
              <w:t>eg</w:t>
            </w:r>
          </w:p>
        </w:tc>
      </w:tr>
      <w:tr w:rsidR="0015784D" w:rsidRPr="00EF08AF" w14:paraId="156A5CC1" w14:textId="77777777" w:rsidTr="0015784D">
        <w:trPr>
          <w:jc w:val="center"/>
        </w:trPr>
        <w:tc>
          <w:tcPr>
            <w:tcW w:w="1134" w:type="dxa"/>
            <w:tcBorders>
              <w:top w:val="nil"/>
              <w:bottom w:val="single" w:sz="4" w:space="0" w:color="auto"/>
            </w:tcBorders>
            <w:shd w:val="clear" w:color="auto" w:fill="auto"/>
            <w:vAlign w:val="center"/>
          </w:tcPr>
          <w:p w14:paraId="3461C825" w14:textId="77777777" w:rsidR="008602D5" w:rsidRPr="004C337D" w:rsidRDefault="008602D5" w:rsidP="006B4528">
            <w:pPr>
              <w:pStyle w:val="MDPI42tablebody"/>
              <w:spacing w:line="240" w:lineRule="auto"/>
              <w:jc w:val="both"/>
              <w:rPr>
                <w:color w:val="000000" w:themeColor="text1"/>
                <w:sz w:val="18"/>
                <w:szCs w:val="18"/>
              </w:rPr>
            </w:pPr>
          </w:p>
        </w:tc>
        <w:tc>
          <w:tcPr>
            <w:tcW w:w="1276" w:type="dxa"/>
            <w:tcBorders>
              <w:top w:val="nil"/>
              <w:bottom w:val="single" w:sz="4" w:space="0" w:color="auto"/>
            </w:tcBorders>
            <w:shd w:val="clear" w:color="auto" w:fill="auto"/>
            <w:vAlign w:val="center"/>
          </w:tcPr>
          <w:p w14:paraId="264800FE" w14:textId="77777777" w:rsidR="008602D5" w:rsidRPr="004C337D" w:rsidRDefault="008602D5" w:rsidP="006B4528">
            <w:pPr>
              <w:pStyle w:val="MDPI42tablebody"/>
              <w:spacing w:line="240" w:lineRule="auto"/>
              <w:jc w:val="both"/>
              <w:rPr>
                <w:color w:val="000000" w:themeColor="text1"/>
                <w:sz w:val="18"/>
                <w:szCs w:val="18"/>
                <w:vertAlign w:val="subscript"/>
              </w:rPr>
            </w:pPr>
            <w:r w:rsidRPr="004C337D">
              <w:rPr>
                <w:color w:val="000000" w:themeColor="text1"/>
                <w:sz w:val="18"/>
                <w:szCs w:val="18"/>
              </w:rPr>
              <w:t>ARM</w:t>
            </w:r>
            <w:r w:rsidRPr="004C337D">
              <w:rPr>
                <w:color w:val="000000" w:themeColor="text1"/>
                <w:sz w:val="18"/>
                <w:szCs w:val="18"/>
                <w:vertAlign w:val="subscript"/>
              </w:rPr>
              <w:t>MAXTIME</w:t>
            </w:r>
          </w:p>
        </w:tc>
        <w:tc>
          <w:tcPr>
            <w:tcW w:w="4677" w:type="dxa"/>
            <w:tcBorders>
              <w:top w:val="nil"/>
              <w:bottom w:val="single" w:sz="4" w:space="0" w:color="auto"/>
            </w:tcBorders>
            <w:shd w:val="clear" w:color="auto" w:fill="auto"/>
            <w:vAlign w:val="center"/>
          </w:tcPr>
          <w:p w14:paraId="335AEA0A" w14:textId="77777777" w:rsidR="008602D5" w:rsidRPr="004C337D" w:rsidRDefault="008602D5" w:rsidP="006B4528">
            <w:pPr>
              <w:pStyle w:val="MDPI42tablebody"/>
              <w:spacing w:line="240" w:lineRule="auto"/>
              <w:jc w:val="both"/>
              <w:rPr>
                <w:color w:val="000000" w:themeColor="text1"/>
                <w:sz w:val="18"/>
                <w:szCs w:val="18"/>
              </w:rPr>
            </w:pPr>
            <w:r w:rsidRPr="004C337D">
              <w:rPr>
                <w:color w:val="000000" w:themeColor="text1"/>
                <w:sz w:val="18"/>
                <w:szCs w:val="18"/>
              </w:rPr>
              <w:t>Maximum time to complete the level</w:t>
            </w:r>
          </w:p>
        </w:tc>
        <w:tc>
          <w:tcPr>
            <w:tcW w:w="907" w:type="dxa"/>
            <w:tcBorders>
              <w:top w:val="nil"/>
              <w:bottom w:val="single" w:sz="4" w:space="0" w:color="auto"/>
            </w:tcBorders>
            <w:vAlign w:val="center"/>
          </w:tcPr>
          <w:p w14:paraId="41D14C56" w14:textId="77777777" w:rsidR="008602D5" w:rsidRPr="004C337D" w:rsidRDefault="008602D5" w:rsidP="006B4528">
            <w:pPr>
              <w:pStyle w:val="MDPI42tablebody"/>
              <w:spacing w:line="240" w:lineRule="auto"/>
              <w:jc w:val="both"/>
              <w:rPr>
                <w:color w:val="000000" w:themeColor="text1"/>
                <w:sz w:val="18"/>
                <w:szCs w:val="18"/>
              </w:rPr>
            </w:pPr>
            <w:r>
              <w:rPr>
                <w:color w:val="000000" w:themeColor="text1"/>
                <w:sz w:val="18"/>
                <w:szCs w:val="18"/>
              </w:rPr>
              <w:t>s</w:t>
            </w:r>
            <w:r w:rsidRPr="004C337D">
              <w:rPr>
                <w:color w:val="000000" w:themeColor="text1"/>
                <w:sz w:val="18"/>
                <w:szCs w:val="18"/>
              </w:rPr>
              <w:t>ec</w:t>
            </w:r>
          </w:p>
        </w:tc>
      </w:tr>
      <w:tr w:rsidR="0015784D" w:rsidRPr="00EF08AF" w14:paraId="0714A7DE" w14:textId="77777777" w:rsidTr="0015784D">
        <w:trPr>
          <w:jc w:val="center"/>
        </w:trPr>
        <w:tc>
          <w:tcPr>
            <w:tcW w:w="1134" w:type="dxa"/>
            <w:tcBorders>
              <w:top w:val="single" w:sz="4" w:space="0" w:color="auto"/>
            </w:tcBorders>
            <w:shd w:val="clear" w:color="auto" w:fill="auto"/>
            <w:vAlign w:val="center"/>
          </w:tcPr>
          <w:p w14:paraId="2C7525F7" w14:textId="77777777" w:rsidR="008602D5" w:rsidRPr="004C337D" w:rsidRDefault="008602D5" w:rsidP="006B4528">
            <w:pPr>
              <w:pStyle w:val="MDPI42tablebody"/>
              <w:spacing w:line="240" w:lineRule="auto"/>
              <w:jc w:val="both"/>
              <w:rPr>
                <w:color w:val="000000" w:themeColor="text1"/>
                <w:sz w:val="18"/>
                <w:szCs w:val="18"/>
              </w:rPr>
            </w:pPr>
            <w:r w:rsidRPr="004C337D">
              <w:rPr>
                <w:color w:val="000000" w:themeColor="text1"/>
              </w:rPr>
              <w:t>BB</w:t>
            </w:r>
          </w:p>
        </w:tc>
        <w:tc>
          <w:tcPr>
            <w:tcW w:w="1276" w:type="dxa"/>
            <w:tcBorders>
              <w:top w:val="single" w:sz="4" w:space="0" w:color="auto"/>
            </w:tcBorders>
            <w:shd w:val="clear" w:color="auto" w:fill="auto"/>
            <w:vAlign w:val="center"/>
          </w:tcPr>
          <w:p w14:paraId="253E4402" w14:textId="77777777" w:rsidR="008602D5" w:rsidRPr="004C337D" w:rsidRDefault="008602D5" w:rsidP="006B4528">
            <w:pPr>
              <w:pStyle w:val="MDPI42tablebody"/>
              <w:spacing w:line="240" w:lineRule="auto"/>
              <w:jc w:val="both"/>
              <w:rPr>
                <w:color w:val="000000" w:themeColor="text1"/>
                <w:sz w:val="18"/>
                <w:szCs w:val="18"/>
              </w:rPr>
            </w:pPr>
            <w:r w:rsidRPr="004C337D">
              <w:rPr>
                <w:color w:val="000000" w:themeColor="text1"/>
                <w:sz w:val="18"/>
                <w:szCs w:val="18"/>
              </w:rPr>
              <w:t>LEG</w:t>
            </w:r>
            <w:r w:rsidRPr="004C337D">
              <w:rPr>
                <w:color w:val="000000" w:themeColor="text1"/>
                <w:sz w:val="18"/>
                <w:szCs w:val="18"/>
                <w:vertAlign w:val="subscript"/>
              </w:rPr>
              <w:t>MOV</w:t>
            </w:r>
          </w:p>
        </w:tc>
        <w:tc>
          <w:tcPr>
            <w:tcW w:w="4677" w:type="dxa"/>
            <w:tcBorders>
              <w:top w:val="single" w:sz="4" w:space="0" w:color="auto"/>
            </w:tcBorders>
            <w:shd w:val="clear" w:color="auto" w:fill="auto"/>
            <w:vAlign w:val="center"/>
          </w:tcPr>
          <w:p w14:paraId="60C3BAF2" w14:textId="115A55DC" w:rsidR="008602D5" w:rsidRPr="004C337D" w:rsidRDefault="008602D5" w:rsidP="006B4528">
            <w:pPr>
              <w:pStyle w:val="MDPI42tablebody"/>
              <w:spacing w:line="240" w:lineRule="auto"/>
              <w:jc w:val="both"/>
              <w:rPr>
                <w:color w:val="000000" w:themeColor="text1"/>
                <w:sz w:val="18"/>
                <w:szCs w:val="18"/>
              </w:rPr>
            </w:pPr>
            <w:r w:rsidRPr="004C337D">
              <w:rPr>
                <w:color w:val="000000" w:themeColor="text1"/>
                <w:sz w:val="18"/>
                <w:szCs w:val="18"/>
              </w:rPr>
              <w:t xml:space="preserve">Number </w:t>
            </w:r>
            <w:r w:rsidRPr="0015784D">
              <w:rPr>
                <w:color w:val="000000" w:themeColor="text1"/>
                <w:sz w:val="18"/>
                <w:szCs w:val="18"/>
              </w:rPr>
              <w:t xml:space="preserve">of </w:t>
            </w:r>
            <w:r w:rsidRPr="004C337D">
              <w:rPr>
                <w:color w:val="000000" w:themeColor="text1"/>
                <w:sz w:val="18"/>
                <w:szCs w:val="18"/>
              </w:rPr>
              <w:t>movements to complete the game level</w:t>
            </w:r>
          </w:p>
        </w:tc>
        <w:tc>
          <w:tcPr>
            <w:tcW w:w="907" w:type="dxa"/>
            <w:tcBorders>
              <w:top w:val="single" w:sz="4" w:space="0" w:color="auto"/>
            </w:tcBorders>
          </w:tcPr>
          <w:p w14:paraId="4FE7B4EC" w14:textId="77777777" w:rsidR="008602D5" w:rsidRPr="004C337D" w:rsidRDefault="008602D5" w:rsidP="006B4528">
            <w:pPr>
              <w:pStyle w:val="MDPI42tablebody"/>
              <w:spacing w:line="240" w:lineRule="auto"/>
              <w:jc w:val="both"/>
              <w:rPr>
                <w:color w:val="000000" w:themeColor="text1"/>
                <w:sz w:val="18"/>
                <w:szCs w:val="18"/>
              </w:rPr>
            </w:pPr>
            <w:r w:rsidRPr="004C337D">
              <w:rPr>
                <w:color w:val="000000" w:themeColor="text1"/>
                <w:sz w:val="18"/>
                <w:szCs w:val="18"/>
              </w:rPr>
              <w:t>#</w:t>
            </w:r>
          </w:p>
        </w:tc>
      </w:tr>
      <w:tr w:rsidR="0015784D" w:rsidRPr="00EF08AF" w14:paraId="001CCCC1" w14:textId="77777777" w:rsidTr="0015784D">
        <w:trPr>
          <w:jc w:val="center"/>
        </w:trPr>
        <w:tc>
          <w:tcPr>
            <w:tcW w:w="1134" w:type="dxa"/>
            <w:tcBorders>
              <w:bottom w:val="nil"/>
            </w:tcBorders>
            <w:shd w:val="clear" w:color="auto" w:fill="auto"/>
            <w:vAlign w:val="center"/>
          </w:tcPr>
          <w:p w14:paraId="3E7892DD" w14:textId="77777777" w:rsidR="008602D5" w:rsidRPr="004C337D" w:rsidRDefault="008602D5" w:rsidP="006B4528">
            <w:pPr>
              <w:pStyle w:val="MDPI42tablebody"/>
              <w:spacing w:line="240" w:lineRule="auto"/>
              <w:jc w:val="both"/>
              <w:rPr>
                <w:color w:val="000000" w:themeColor="text1"/>
                <w:highlight w:val="yellow"/>
              </w:rPr>
            </w:pPr>
          </w:p>
        </w:tc>
        <w:tc>
          <w:tcPr>
            <w:tcW w:w="1276" w:type="dxa"/>
            <w:tcBorders>
              <w:bottom w:val="nil"/>
            </w:tcBorders>
            <w:shd w:val="clear" w:color="auto" w:fill="auto"/>
            <w:vAlign w:val="center"/>
          </w:tcPr>
          <w:p w14:paraId="32A7105D" w14:textId="77777777" w:rsidR="008602D5" w:rsidRPr="004C337D" w:rsidRDefault="008602D5" w:rsidP="006B4528">
            <w:pPr>
              <w:pStyle w:val="MDPI42tablebody"/>
              <w:spacing w:line="240" w:lineRule="auto"/>
              <w:jc w:val="both"/>
              <w:rPr>
                <w:color w:val="000000" w:themeColor="text1"/>
                <w:sz w:val="18"/>
                <w:szCs w:val="18"/>
              </w:rPr>
            </w:pPr>
            <w:r w:rsidRPr="004C337D">
              <w:rPr>
                <w:color w:val="000000" w:themeColor="text1"/>
                <w:sz w:val="18"/>
                <w:szCs w:val="18"/>
              </w:rPr>
              <w:t>BALL</w:t>
            </w:r>
            <w:r w:rsidRPr="004C337D">
              <w:rPr>
                <w:color w:val="000000" w:themeColor="text1"/>
                <w:sz w:val="18"/>
                <w:szCs w:val="18"/>
                <w:vertAlign w:val="subscript"/>
              </w:rPr>
              <w:t>START</w:t>
            </w:r>
          </w:p>
        </w:tc>
        <w:tc>
          <w:tcPr>
            <w:tcW w:w="4677" w:type="dxa"/>
            <w:tcBorders>
              <w:bottom w:val="nil"/>
            </w:tcBorders>
            <w:shd w:val="clear" w:color="auto" w:fill="auto"/>
            <w:vAlign w:val="center"/>
          </w:tcPr>
          <w:p w14:paraId="4E2B7EB9" w14:textId="77777777" w:rsidR="008602D5" w:rsidRPr="004C337D" w:rsidRDefault="008602D5" w:rsidP="006B4528">
            <w:pPr>
              <w:pStyle w:val="MDPI42tablebody"/>
              <w:spacing w:line="240" w:lineRule="auto"/>
              <w:jc w:val="both"/>
              <w:rPr>
                <w:color w:val="000000" w:themeColor="text1"/>
                <w:sz w:val="18"/>
                <w:szCs w:val="18"/>
              </w:rPr>
            </w:pPr>
            <w:r>
              <w:rPr>
                <w:color w:val="000000" w:themeColor="text1"/>
                <w:sz w:val="18"/>
                <w:szCs w:val="18"/>
              </w:rPr>
              <w:t>Ball starting</w:t>
            </w:r>
            <w:r w:rsidRPr="004C337D">
              <w:rPr>
                <w:color w:val="000000" w:themeColor="text1"/>
                <w:sz w:val="18"/>
                <w:szCs w:val="18"/>
              </w:rPr>
              <w:t xml:space="preserve"> position </w:t>
            </w:r>
            <w:r>
              <w:rPr>
                <w:color w:val="000000" w:themeColor="text1"/>
                <w:sz w:val="18"/>
                <w:szCs w:val="18"/>
              </w:rPr>
              <w:t>(</w:t>
            </w:r>
            <w:r w:rsidRPr="004C337D">
              <w:rPr>
                <w:color w:val="000000" w:themeColor="text1"/>
                <w:sz w:val="18"/>
                <w:szCs w:val="18"/>
              </w:rPr>
              <w:t xml:space="preserve">percentage </w:t>
            </w:r>
            <w:r>
              <w:rPr>
                <w:color w:val="000000" w:themeColor="text1"/>
                <w:sz w:val="18"/>
                <w:szCs w:val="18"/>
              </w:rPr>
              <w:t>above</w:t>
            </w:r>
            <w:r w:rsidRPr="004C337D">
              <w:rPr>
                <w:color w:val="000000" w:themeColor="text1"/>
                <w:sz w:val="18"/>
                <w:szCs w:val="18"/>
              </w:rPr>
              <w:t xml:space="preserve"> knee rest position</w:t>
            </w:r>
            <w:r>
              <w:rPr>
                <w:color w:val="000000" w:themeColor="text1"/>
                <w:sz w:val="18"/>
                <w:szCs w:val="18"/>
              </w:rPr>
              <w:t>)</w:t>
            </w:r>
          </w:p>
        </w:tc>
        <w:tc>
          <w:tcPr>
            <w:tcW w:w="907" w:type="dxa"/>
            <w:tcBorders>
              <w:bottom w:val="nil"/>
            </w:tcBorders>
          </w:tcPr>
          <w:p w14:paraId="75A96F39" w14:textId="77777777" w:rsidR="008602D5" w:rsidRPr="004C337D" w:rsidRDefault="008602D5" w:rsidP="006B4528">
            <w:pPr>
              <w:pStyle w:val="MDPI42tablebody"/>
              <w:spacing w:line="240" w:lineRule="auto"/>
              <w:jc w:val="both"/>
              <w:rPr>
                <w:color w:val="000000" w:themeColor="text1"/>
                <w:sz w:val="18"/>
                <w:szCs w:val="18"/>
              </w:rPr>
            </w:pPr>
            <w:r w:rsidRPr="004C337D">
              <w:rPr>
                <w:color w:val="000000" w:themeColor="text1"/>
                <w:sz w:val="18"/>
                <w:szCs w:val="18"/>
              </w:rPr>
              <w:t>%</w:t>
            </w:r>
          </w:p>
        </w:tc>
      </w:tr>
      <w:tr w:rsidR="0015784D" w:rsidRPr="00EF08AF" w14:paraId="2701C1E2" w14:textId="77777777" w:rsidTr="0015784D">
        <w:trPr>
          <w:jc w:val="center"/>
        </w:trPr>
        <w:tc>
          <w:tcPr>
            <w:tcW w:w="1134" w:type="dxa"/>
            <w:tcBorders>
              <w:top w:val="nil"/>
              <w:bottom w:val="nil"/>
            </w:tcBorders>
            <w:shd w:val="clear" w:color="auto" w:fill="auto"/>
            <w:vAlign w:val="center"/>
          </w:tcPr>
          <w:p w14:paraId="6BE7C314" w14:textId="77777777" w:rsidR="008602D5" w:rsidRPr="004C337D" w:rsidRDefault="008602D5" w:rsidP="006B4528">
            <w:pPr>
              <w:pStyle w:val="MDPI42tablebody"/>
              <w:spacing w:line="240" w:lineRule="auto"/>
              <w:jc w:val="both"/>
              <w:rPr>
                <w:color w:val="000000" w:themeColor="text1"/>
                <w:highlight w:val="yellow"/>
              </w:rPr>
            </w:pPr>
          </w:p>
        </w:tc>
        <w:tc>
          <w:tcPr>
            <w:tcW w:w="1276" w:type="dxa"/>
            <w:tcBorders>
              <w:top w:val="nil"/>
              <w:bottom w:val="nil"/>
            </w:tcBorders>
            <w:shd w:val="clear" w:color="auto" w:fill="auto"/>
            <w:vAlign w:val="center"/>
          </w:tcPr>
          <w:p w14:paraId="3533D499" w14:textId="77777777" w:rsidR="008602D5" w:rsidRPr="004C337D" w:rsidRDefault="008602D5" w:rsidP="006B4528">
            <w:pPr>
              <w:pStyle w:val="MDPI42tablebody"/>
              <w:spacing w:line="240" w:lineRule="auto"/>
              <w:jc w:val="both"/>
              <w:rPr>
                <w:color w:val="000000" w:themeColor="text1"/>
                <w:sz w:val="18"/>
                <w:szCs w:val="18"/>
              </w:rPr>
            </w:pPr>
            <w:r w:rsidRPr="004C337D">
              <w:rPr>
                <w:color w:val="000000" w:themeColor="text1"/>
                <w:sz w:val="18"/>
                <w:szCs w:val="18"/>
              </w:rPr>
              <w:t>LEG</w:t>
            </w:r>
            <w:r w:rsidRPr="004C337D">
              <w:rPr>
                <w:color w:val="000000" w:themeColor="text1"/>
                <w:sz w:val="18"/>
                <w:szCs w:val="18"/>
                <w:vertAlign w:val="subscript"/>
              </w:rPr>
              <w:t>MAXTIME</w:t>
            </w:r>
          </w:p>
        </w:tc>
        <w:tc>
          <w:tcPr>
            <w:tcW w:w="4677" w:type="dxa"/>
            <w:tcBorders>
              <w:top w:val="nil"/>
              <w:bottom w:val="nil"/>
            </w:tcBorders>
            <w:shd w:val="clear" w:color="auto" w:fill="auto"/>
            <w:vAlign w:val="center"/>
          </w:tcPr>
          <w:p w14:paraId="206FBCE3" w14:textId="77777777" w:rsidR="008602D5" w:rsidRPr="004C337D" w:rsidRDefault="008602D5" w:rsidP="006B4528">
            <w:pPr>
              <w:pStyle w:val="MDPI42tablebody"/>
              <w:spacing w:line="240" w:lineRule="auto"/>
              <w:jc w:val="both"/>
              <w:rPr>
                <w:color w:val="000000" w:themeColor="text1"/>
                <w:sz w:val="18"/>
                <w:szCs w:val="18"/>
              </w:rPr>
            </w:pPr>
            <w:r w:rsidRPr="004C337D">
              <w:rPr>
                <w:color w:val="000000" w:themeColor="text1"/>
                <w:sz w:val="18"/>
                <w:szCs w:val="18"/>
              </w:rPr>
              <w:t>Maximum time to complete the level</w:t>
            </w:r>
          </w:p>
        </w:tc>
        <w:tc>
          <w:tcPr>
            <w:tcW w:w="907" w:type="dxa"/>
            <w:tcBorders>
              <w:top w:val="nil"/>
              <w:bottom w:val="nil"/>
            </w:tcBorders>
          </w:tcPr>
          <w:p w14:paraId="79AE18FE" w14:textId="77777777" w:rsidR="008602D5" w:rsidRPr="004C337D" w:rsidRDefault="008602D5" w:rsidP="006B4528">
            <w:pPr>
              <w:pStyle w:val="MDPI42tablebody"/>
              <w:spacing w:line="240" w:lineRule="auto"/>
              <w:jc w:val="both"/>
              <w:rPr>
                <w:color w:val="000000" w:themeColor="text1"/>
                <w:sz w:val="18"/>
                <w:szCs w:val="18"/>
              </w:rPr>
            </w:pPr>
            <w:r>
              <w:rPr>
                <w:color w:val="000000" w:themeColor="text1"/>
                <w:sz w:val="18"/>
                <w:szCs w:val="18"/>
              </w:rPr>
              <w:t>s</w:t>
            </w:r>
            <w:r w:rsidRPr="004C337D">
              <w:rPr>
                <w:color w:val="000000" w:themeColor="text1"/>
                <w:sz w:val="18"/>
                <w:szCs w:val="18"/>
              </w:rPr>
              <w:t>ec</w:t>
            </w:r>
          </w:p>
        </w:tc>
      </w:tr>
      <w:tr w:rsidR="0015784D" w:rsidRPr="00EF08AF" w14:paraId="29A1FD8E" w14:textId="77777777" w:rsidTr="0015784D">
        <w:trPr>
          <w:jc w:val="center"/>
        </w:trPr>
        <w:tc>
          <w:tcPr>
            <w:tcW w:w="1134" w:type="dxa"/>
            <w:tcBorders>
              <w:top w:val="nil"/>
              <w:bottom w:val="nil"/>
            </w:tcBorders>
            <w:shd w:val="clear" w:color="auto" w:fill="auto"/>
            <w:vAlign w:val="center"/>
          </w:tcPr>
          <w:p w14:paraId="0977CD74" w14:textId="77777777" w:rsidR="008602D5" w:rsidRPr="004C337D" w:rsidRDefault="008602D5" w:rsidP="006B4528">
            <w:pPr>
              <w:pStyle w:val="MDPI42tablebody"/>
              <w:spacing w:line="240" w:lineRule="auto"/>
              <w:jc w:val="both"/>
              <w:rPr>
                <w:color w:val="000000" w:themeColor="text1"/>
                <w:highlight w:val="yellow"/>
              </w:rPr>
            </w:pPr>
          </w:p>
        </w:tc>
        <w:tc>
          <w:tcPr>
            <w:tcW w:w="1276" w:type="dxa"/>
            <w:tcBorders>
              <w:top w:val="nil"/>
              <w:bottom w:val="nil"/>
            </w:tcBorders>
            <w:shd w:val="clear" w:color="auto" w:fill="auto"/>
            <w:vAlign w:val="center"/>
          </w:tcPr>
          <w:p w14:paraId="54118028" w14:textId="66DAE5EF" w:rsidR="008602D5" w:rsidRPr="00664849" w:rsidRDefault="00E47C82" w:rsidP="006B4528">
            <w:pPr>
              <w:pStyle w:val="MDPI42tablebody"/>
              <w:spacing w:line="240" w:lineRule="auto"/>
              <w:jc w:val="both"/>
              <w:rPr>
                <w:color w:val="000000" w:themeColor="text1"/>
                <w:sz w:val="18"/>
                <w:szCs w:val="18"/>
                <w:vertAlign w:val="subscript"/>
              </w:rPr>
            </w:pPr>
            <w:r>
              <w:rPr>
                <w:color w:val="000000" w:themeColor="text1"/>
                <w:sz w:val="18"/>
                <w:szCs w:val="18"/>
              </w:rPr>
              <w:t>LIGHT</w:t>
            </w:r>
            <w:r w:rsidR="008602D5">
              <w:rPr>
                <w:color w:val="000000" w:themeColor="text1"/>
                <w:sz w:val="18"/>
                <w:szCs w:val="18"/>
              </w:rPr>
              <w:t>ON</w:t>
            </w:r>
            <w:r w:rsidR="008602D5">
              <w:rPr>
                <w:color w:val="000000" w:themeColor="text1"/>
                <w:sz w:val="18"/>
                <w:szCs w:val="18"/>
                <w:vertAlign w:val="subscript"/>
              </w:rPr>
              <w:t>TIME</w:t>
            </w:r>
          </w:p>
        </w:tc>
        <w:tc>
          <w:tcPr>
            <w:tcW w:w="4677" w:type="dxa"/>
            <w:tcBorders>
              <w:top w:val="nil"/>
              <w:bottom w:val="nil"/>
            </w:tcBorders>
            <w:shd w:val="clear" w:color="auto" w:fill="auto"/>
            <w:vAlign w:val="center"/>
          </w:tcPr>
          <w:p w14:paraId="3E6E4E08" w14:textId="2D9A3E72" w:rsidR="008602D5" w:rsidRPr="004C337D" w:rsidRDefault="008602D5" w:rsidP="006B4528">
            <w:pPr>
              <w:pStyle w:val="MDPI42tablebody"/>
              <w:spacing w:line="240" w:lineRule="auto"/>
              <w:jc w:val="both"/>
              <w:rPr>
                <w:color w:val="000000" w:themeColor="text1"/>
                <w:sz w:val="18"/>
                <w:szCs w:val="18"/>
              </w:rPr>
            </w:pPr>
            <w:r w:rsidRPr="0038355A">
              <w:rPr>
                <w:color w:val="000000" w:themeColor="text1"/>
                <w:sz w:val="18"/>
                <w:szCs w:val="18"/>
              </w:rPr>
              <w:t xml:space="preserve">Time between </w:t>
            </w:r>
            <w:r w:rsidR="00E47C82">
              <w:rPr>
                <w:color w:val="000000" w:themeColor="text1"/>
                <w:sz w:val="18"/>
                <w:szCs w:val="18"/>
              </w:rPr>
              <w:t xml:space="preserve">a </w:t>
            </w:r>
            <w:r w:rsidRPr="0038355A">
              <w:rPr>
                <w:color w:val="000000" w:themeColor="text1"/>
                <w:sz w:val="18"/>
                <w:szCs w:val="18"/>
              </w:rPr>
              <w:t>ball</w:t>
            </w:r>
            <w:r>
              <w:rPr>
                <w:color w:val="000000" w:themeColor="text1"/>
                <w:sz w:val="18"/>
                <w:szCs w:val="18"/>
              </w:rPr>
              <w:t xml:space="preserve"> hit and consecutive</w:t>
            </w:r>
            <w:r w:rsidRPr="0038355A">
              <w:rPr>
                <w:color w:val="000000" w:themeColor="text1"/>
                <w:sz w:val="18"/>
                <w:szCs w:val="18"/>
              </w:rPr>
              <w:t xml:space="preserve"> </w:t>
            </w:r>
            <w:r w:rsidR="00E47C82">
              <w:rPr>
                <w:color w:val="000000" w:themeColor="text1"/>
                <w:sz w:val="18"/>
                <w:szCs w:val="18"/>
              </w:rPr>
              <w:t>light</w:t>
            </w:r>
            <w:r w:rsidRPr="0038355A">
              <w:rPr>
                <w:color w:val="000000" w:themeColor="text1"/>
                <w:sz w:val="18"/>
                <w:szCs w:val="18"/>
              </w:rPr>
              <w:t>-on</w:t>
            </w:r>
          </w:p>
        </w:tc>
        <w:tc>
          <w:tcPr>
            <w:tcW w:w="907" w:type="dxa"/>
            <w:tcBorders>
              <w:top w:val="nil"/>
              <w:bottom w:val="nil"/>
            </w:tcBorders>
          </w:tcPr>
          <w:p w14:paraId="28B45808" w14:textId="77777777" w:rsidR="008602D5" w:rsidRDefault="008602D5" w:rsidP="006B4528">
            <w:pPr>
              <w:pStyle w:val="MDPI42tablebody"/>
              <w:spacing w:line="240" w:lineRule="auto"/>
              <w:jc w:val="both"/>
              <w:rPr>
                <w:color w:val="000000" w:themeColor="text1"/>
                <w:sz w:val="18"/>
                <w:szCs w:val="18"/>
              </w:rPr>
            </w:pPr>
            <w:r>
              <w:rPr>
                <w:color w:val="000000" w:themeColor="text1"/>
                <w:sz w:val="18"/>
                <w:szCs w:val="18"/>
              </w:rPr>
              <w:t>sec</w:t>
            </w:r>
          </w:p>
        </w:tc>
      </w:tr>
      <w:tr w:rsidR="006E408A" w:rsidRPr="00EF08AF" w14:paraId="6E535DD0" w14:textId="77777777" w:rsidTr="0015784D">
        <w:trPr>
          <w:jc w:val="center"/>
        </w:trPr>
        <w:tc>
          <w:tcPr>
            <w:tcW w:w="1134" w:type="dxa"/>
            <w:tcBorders>
              <w:top w:val="nil"/>
              <w:bottom w:val="nil"/>
            </w:tcBorders>
            <w:shd w:val="clear" w:color="auto" w:fill="auto"/>
            <w:vAlign w:val="center"/>
          </w:tcPr>
          <w:p w14:paraId="13FD3440" w14:textId="77777777" w:rsidR="006E408A" w:rsidRDefault="006E408A" w:rsidP="006B4528">
            <w:pPr>
              <w:pStyle w:val="MDPI42tablebody"/>
              <w:spacing w:line="240" w:lineRule="auto"/>
              <w:jc w:val="both"/>
              <w:rPr>
                <w:color w:val="000000" w:themeColor="text1"/>
                <w:highlight w:val="yellow"/>
              </w:rPr>
            </w:pPr>
          </w:p>
          <w:p w14:paraId="263C0705" w14:textId="0F42E2A3" w:rsidR="006E408A" w:rsidRPr="004C337D" w:rsidRDefault="006E408A" w:rsidP="006B4528">
            <w:pPr>
              <w:pStyle w:val="MDPI42tablebody"/>
              <w:spacing w:line="240" w:lineRule="auto"/>
              <w:jc w:val="both"/>
              <w:rPr>
                <w:color w:val="000000" w:themeColor="text1"/>
                <w:highlight w:val="yellow"/>
              </w:rPr>
            </w:pPr>
          </w:p>
        </w:tc>
        <w:tc>
          <w:tcPr>
            <w:tcW w:w="1276" w:type="dxa"/>
            <w:tcBorders>
              <w:top w:val="nil"/>
              <w:bottom w:val="nil"/>
            </w:tcBorders>
            <w:shd w:val="clear" w:color="auto" w:fill="auto"/>
            <w:vAlign w:val="center"/>
          </w:tcPr>
          <w:p w14:paraId="67E622C8" w14:textId="77777777" w:rsidR="006E408A" w:rsidRDefault="006E408A" w:rsidP="006B4528">
            <w:pPr>
              <w:pStyle w:val="MDPI42tablebody"/>
              <w:spacing w:line="240" w:lineRule="auto"/>
              <w:jc w:val="both"/>
              <w:rPr>
                <w:color w:val="000000" w:themeColor="text1"/>
                <w:sz w:val="18"/>
                <w:szCs w:val="18"/>
              </w:rPr>
            </w:pPr>
          </w:p>
        </w:tc>
        <w:tc>
          <w:tcPr>
            <w:tcW w:w="4677" w:type="dxa"/>
            <w:tcBorders>
              <w:top w:val="nil"/>
              <w:bottom w:val="nil"/>
            </w:tcBorders>
            <w:shd w:val="clear" w:color="auto" w:fill="auto"/>
            <w:vAlign w:val="center"/>
          </w:tcPr>
          <w:p w14:paraId="02D135F1" w14:textId="77777777" w:rsidR="006E408A" w:rsidRPr="0038355A" w:rsidRDefault="006E408A" w:rsidP="006B4528">
            <w:pPr>
              <w:pStyle w:val="MDPI42tablebody"/>
              <w:spacing w:line="240" w:lineRule="auto"/>
              <w:jc w:val="both"/>
              <w:rPr>
                <w:color w:val="000000" w:themeColor="text1"/>
                <w:sz w:val="18"/>
                <w:szCs w:val="18"/>
              </w:rPr>
            </w:pPr>
          </w:p>
        </w:tc>
        <w:tc>
          <w:tcPr>
            <w:tcW w:w="907" w:type="dxa"/>
            <w:tcBorders>
              <w:top w:val="nil"/>
              <w:bottom w:val="nil"/>
            </w:tcBorders>
          </w:tcPr>
          <w:p w14:paraId="2F0F0584" w14:textId="77777777" w:rsidR="006E408A" w:rsidRDefault="006E408A" w:rsidP="006B4528">
            <w:pPr>
              <w:pStyle w:val="MDPI42tablebody"/>
              <w:spacing w:line="240" w:lineRule="auto"/>
              <w:jc w:val="both"/>
              <w:rPr>
                <w:color w:val="000000" w:themeColor="text1"/>
                <w:sz w:val="18"/>
                <w:szCs w:val="18"/>
              </w:rPr>
            </w:pPr>
          </w:p>
        </w:tc>
      </w:tr>
    </w:tbl>
    <w:p w14:paraId="7455B5A5" w14:textId="47995292" w:rsidR="00B90978" w:rsidRDefault="006E408A" w:rsidP="00D26344">
      <w:pPr>
        <w:pStyle w:val="MDPI12title"/>
        <w:numPr>
          <w:ilvl w:val="0"/>
          <w:numId w:val="1"/>
        </w:numPr>
        <w:ind w:left="142" w:hanging="426"/>
        <w:jc w:val="both"/>
      </w:pPr>
      <w:r>
        <w:t>INDEX</w:t>
      </w:r>
      <w:r w:rsidR="00265AD7" w:rsidRPr="00265AD7">
        <w:rPr>
          <w:vertAlign w:val="subscript"/>
        </w:rPr>
        <w:t>SIM</w:t>
      </w:r>
      <w:r w:rsidR="00265AD7">
        <w:rPr>
          <w:vertAlign w:val="subscript"/>
        </w:rPr>
        <w:t xml:space="preserve"> </w:t>
      </w:r>
    </w:p>
    <w:p w14:paraId="00BB09A1" w14:textId="200F568F" w:rsidR="00B90978" w:rsidRPr="001724C6" w:rsidRDefault="00265AD7" w:rsidP="006B4528">
      <w:pPr>
        <w:pStyle w:val="MDPI31text"/>
        <w:ind w:left="0"/>
        <w:rPr>
          <w:color w:val="000000" w:themeColor="text1"/>
          <w:lang w:val="en-GB"/>
        </w:rPr>
      </w:pPr>
      <w:r>
        <w:rPr>
          <w:color w:val="000000" w:themeColor="text1"/>
          <w:lang w:val="en-GB"/>
        </w:rPr>
        <w:t>The functional parameter</w:t>
      </w:r>
      <w:r w:rsidR="00B90978" w:rsidRPr="001724C6">
        <w:rPr>
          <w:color w:val="000000" w:themeColor="text1"/>
          <w:lang w:val="en-GB"/>
        </w:rPr>
        <w:t xml:space="preserve"> </w:t>
      </w:r>
      <w:r w:rsidR="00B90978" w:rsidRPr="001724C6">
        <w:rPr>
          <w:color w:val="000000" w:themeColor="text1"/>
          <w:sz w:val="18"/>
          <w:szCs w:val="18"/>
        </w:rPr>
        <w:t>INDEX</w:t>
      </w:r>
      <w:r w:rsidR="00B90978" w:rsidRPr="001724C6">
        <w:rPr>
          <w:color w:val="000000" w:themeColor="text1"/>
          <w:sz w:val="18"/>
          <w:szCs w:val="18"/>
          <w:vertAlign w:val="subscript"/>
        </w:rPr>
        <w:t>SIM</w:t>
      </w:r>
      <w:r w:rsidR="00B90978">
        <w:rPr>
          <w:color w:val="000000" w:themeColor="text1"/>
          <w:sz w:val="18"/>
          <w:szCs w:val="18"/>
          <w:vertAlign w:val="subscript"/>
        </w:rPr>
        <w:t xml:space="preserve"> </w:t>
      </w:r>
      <w:r w:rsidR="00B90978">
        <w:rPr>
          <w:color w:val="000000" w:themeColor="text1"/>
          <w:sz w:val="18"/>
          <w:szCs w:val="18"/>
        </w:rPr>
        <w:t>of LWL and FWL</w:t>
      </w:r>
      <w:r w:rsidR="00B90978" w:rsidRPr="001724C6">
        <w:rPr>
          <w:color w:val="000000" w:themeColor="text1"/>
          <w:lang w:val="en-GB"/>
        </w:rPr>
        <w:t xml:space="preserve"> was defined based on the collected data to evaluate the time lag between left and right ANG</w:t>
      </w:r>
      <w:r w:rsidR="00B90978" w:rsidRPr="001724C6">
        <w:rPr>
          <w:color w:val="000000" w:themeColor="text1"/>
          <w:vertAlign w:val="subscript"/>
          <w:lang w:val="en-GB"/>
        </w:rPr>
        <w:t>ARM</w:t>
      </w:r>
      <w:r w:rsidR="00B90978" w:rsidRPr="001724C6">
        <w:rPr>
          <w:color w:val="000000" w:themeColor="text1"/>
          <w:lang w:val="en-GB"/>
        </w:rPr>
        <w:t xml:space="preserve"> signals at arm raise above ARM</w:t>
      </w:r>
      <w:r w:rsidR="00B90978" w:rsidRPr="001724C6">
        <w:rPr>
          <w:color w:val="000000" w:themeColor="text1"/>
          <w:sz w:val="18"/>
          <w:szCs w:val="21"/>
          <w:vertAlign w:val="subscript"/>
          <w:lang w:val="en-GB"/>
        </w:rPr>
        <w:t>MINA</w:t>
      </w:r>
      <w:r w:rsidR="006B4528">
        <w:rPr>
          <w:color w:val="000000" w:themeColor="text1"/>
          <w:sz w:val="18"/>
          <w:szCs w:val="21"/>
          <w:vertAlign w:val="subscript"/>
          <w:lang w:val="en-GB"/>
        </w:rPr>
        <w:t>N</w:t>
      </w:r>
      <w:r w:rsidR="00B90978" w:rsidRPr="001724C6">
        <w:rPr>
          <w:color w:val="000000" w:themeColor="text1"/>
          <w:sz w:val="18"/>
          <w:szCs w:val="21"/>
          <w:vertAlign w:val="subscript"/>
          <w:lang w:val="en-GB"/>
        </w:rPr>
        <w:t>G</w:t>
      </w:r>
      <w:r>
        <w:rPr>
          <w:color w:val="000000" w:themeColor="text1"/>
          <w:sz w:val="18"/>
          <w:szCs w:val="21"/>
          <w:vertAlign w:val="subscript"/>
          <w:lang w:val="en-GB"/>
        </w:rPr>
        <w:t xml:space="preserve"> </w:t>
      </w:r>
      <w:r w:rsidR="00B90978" w:rsidRPr="001724C6">
        <w:rPr>
          <w:color w:val="000000" w:themeColor="text1"/>
          <w:sz w:val="18"/>
          <w:szCs w:val="21"/>
          <w:lang w:val="en-GB"/>
        </w:rPr>
        <w:t>(LAG</w:t>
      </w:r>
      <w:r w:rsidR="00B90978" w:rsidRPr="001724C6">
        <w:rPr>
          <w:color w:val="000000" w:themeColor="text1"/>
          <w:sz w:val="18"/>
          <w:szCs w:val="21"/>
          <w:vertAlign w:val="subscript"/>
          <w:lang w:val="en-GB"/>
        </w:rPr>
        <w:t>OVER</w:t>
      </w:r>
      <w:r w:rsidR="00B90978" w:rsidRPr="001724C6">
        <w:rPr>
          <w:color w:val="000000" w:themeColor="text1"/>
          <w:lang w:val="en-GB"/>
        </w:rPr>
        <w:t>) and descent below ARM</w:t>
      </w:r>
      <w:r w:rsidR="00B90978" w:rsidRPr="001724C6">
        <w:rPr>
          <w:color w:val="000000" w:themeColor="text1"/>
          <w:sz w:val="18"/>
          <w:szCs w:val="21"/>
          <w:vertAlign w:val="subscript"/>
          <w:lang w:val="en-GB"/>
        </w:rPr>
        <w:t xml:space="preserve">MINAG </w:t>
      </w:r>
      <w:r w:rsidR="00B90978" w:rsidRPr="001724C6">
        <w:rPr>
          <w:color w:val="000000" w:themeColor="text1"/>
          <w:sz w:val="18"/>
          <w:szCs w:val="21"/>
          <w:lang w:val="en-GB"/>
        </w:rPr>
        <w:t>(LAG</w:t>
      </w:r>
      <w:r w:rsidR="00B90978" w:rsidRPr="001724C6">
        <w:rPr>
          <w:color w:val="000000" w:themeColor="text1"/>
          <w:sz w:val="18"/>
          <w:szCs w:val="21"/>
          <w:vertAlign w:val="subscript"/>
          <w:lang w:val="en-GB"/>
        </w:rPr>
        <w:t>UNDER</w:t>
      </w:r>
      <w:r w:rsidR="00B90978" w:rsidRPr="001724C6">
        <w:rPr>
          <w:color w:val="000000" w:themeColor="text1"/>
          <w:lang w:val="en-GB"/>
        </w:rPr>
        <w:t xml:space="preserve">). A simultaneous cycle is one for which </w:t>
      </w:r>
      <w:r>
        <w:rPr>
          <w:color w:val="000000" w:themeColor="text1"/>
          <w:lang w:val="en-GB"/>
        </w:rPr>
        <w:t xml:space="preserve">the </w:t>
      </w:r>
      <w:r w:rsidR="00B90978" w:rsidRPr="001724C6">
        <w:rPr>
          <w:color w:val="000000" w:themeColor="text1"/>
          <w:lang w:val="en-GB"/>
        </w:rPr>
        <w:t>left</w:t>
      </w:r>
      <w:r w:rsidR="00E47C82">
        <w:rPr>
          <w:color w:val="000000" w:themeColor="text1"/>
          <w:lang w:val="en-GB"/>
        </w:rPr>
        <w:t xml:space="preserve"> arm</w:t>
      </w:r>
      <w:r w:rsidR="00B90978" w:rsidRPr="001724C6">
        <w:rPr>
          <w:color w:val="000000" w:themeColor="text1"/>
          <w:lang w:val="en-GB"/>
        </w:rPr>
        <w:t xml:space="preserve"> and right arm </w:t>
      </w:r>
      <w:r>
        <w:rPr>
          <w:color w:val="000000" w:themeColor="text1"/>
          <w:lang w:val="en-GB"/>
        </w:rPr>
        <w:t xml:space="preserve">are raised </w:t>
      </w:r>
      <w:r w:rsidRPr="001724C6">
        <w:rPr>
          <w:color w:val="000000" w:themeColor="text1"/>
          <w:lang w:val="en-GB"/>
        </w:rPr>
        <w:t>above ARM</w:t>
      </w:r>
      <w:r w:rsidRPr="001724C6">
        <w:rPr>
          <w:color w:val="000000" w:themeColor="text1"/>
          <w:sz w:val="18"/>
          <w:szCs w:val="21"/>
          <w:vertAlign w:val="subscript"/>
          <w:lang w:val="en-GB"/>
        </w:rPr>
        <w:t>MINAG</w:t>
      </w:r>
      <w:r w:rsidR="00B90978" w:rsidRPr="001724C6">
        <w:rPr>
          <w:color w:val="000000" w:themeColor="text1"/>
          <w:lang w:val="en-GB"/>
        </w:rPr>
        <w:t xml:space="preserve"> such that one of the two motion cycles starts before the end of the other. Conversely, wrong </w:t>
      </w:r>
      <w:r w:rsidR="0081531C">
        <w:rPr>
          <w:color w:val="000000" w:themeColor="text1"/>
          <w:lang w:val="en-GB"/>
        </w:rPr>
        <w:t>single-arm</w:t>
      </w:r>
      <w:r w:rsidR="00B90978" w:rsidRPr="001724C6">
        <w:rPr>
          <w:color w:val="000000" w:themeColor="text1"/>
          <w:lang w:val="en-GB"/>
        </w:rPr>
        <w:t xml:space="preserve"> movements are the ones for which is not possible to </w:t>
      </w:r>
      <w:r w:rsidR="0081531C">
        <w:rPr>
          <w:color w:val="000000" w:themeColor="text1"/>
          <w:lang w:val="en-GB"/>
        </w:rPr>
        <w:t>identify</w:t>
      </w:r>
      <w:r w:rsidR="00B90978" w:rsidRPr="001724C6">
        <w:rPr>
          <w:color w:val="000000" w:themeColor="text1"/>
          <w:lang w:val="en-GB"/>
        </w:rPr>
        <w:t xml:space="preserve"> a corresponding raise cycle in the other</w:t>
      </w:r>
      <w:r w:rsidR="0081531C">
        <w:rPr>
          <w:color w:val="000000" w:themeColor="text1"/>
          <w:lang w:val="en-GB"/>
        </w:rPr>
        <w:t xml:space="preserve"> arm</w:t>
      </w:r>
      <w:r w:rsidR="00B90978" w:rsidRPr="001724C6">
        <w:rPr>
          <w:color w:val="000000" w:themeColor="text1"/>
          <w:lang w:val="en-GB"/>
        </w:rPr>
        <w:t xml:space="preserve"> signal before its end and are counted (SINGLE</w:t>
      </w:r>
      <w:r w:rsidR="00B90978" w:rsidRPr="001724C6">
        <w:rPr>
          <w:color w:val="000000" w:themeColor="text1"/>
          <w:vertAlign w:val="subscript"/>
          <w:lang w:val="en-GB"/>
        </w:rPr>
        <w:t>COUNT</w:t>
      </w:r>
      <w:r w:rsidR="00B90978" w:rsidRPr="001724C6">
        <w:rPr>
          <w:color w:val="000000" w:themeColor="text1"/>
          <w:lang w:val="en-GB"/>
        </w:rPr>
        <w:t xml:space="preserve">) to </w:t>
      </w:r>
      <w:r w:rsidR="0081531C">
        <w:rPr>
          <w:color w:val="000000" w:themeColor="text1"/>
          <w:lang w:val="en-GB"/>
        </w:rPr>
        <w:t>be used</w:t>
      </w:r>
      <w:r w:rsidR="00B90978" w:rsidRPr="001724C6">
        <w:rPr>
          <w:color w:val="000000" w:themeColor="text1"/>
          <w:lang w:val="en-GB"/>
        </w:rPr>
        <w:t xml:space="preserve"> as</w:t>
      </w:r>
      <w:r w:rsidR="0081531C">
        <w:rPr>
          <w:color w:val="000000" w:themeColor="text1"/>
          <w:lang w:val="en-GB"/>
        </w:rPr>
        <w:t xml:space="preserve"> a</w:t>
      </w:r>
      <w:r w:rsidR="00B90978" w:rsidRPr="001724C6">
        <w:rPr>
          <w:color w:val="000000" w:themeColor="text1"/>
          <w:lang w:val="en-GB"/>
        </w:rPr>
        <w:t xml:space="preserve"> penalty factor. The overall metric is mathematically defined as in the following Equation (</w:t>
      </w:r>
      <w:r w:rsidR="00E47C82">
        <w:rPr>
          <w:color w:val="000000" w:themeColor="text1"/>
          <w:lang w:val="en-GB"/>
        </w:rPr>
        <w:t>S.</w:t>
      </w:r>
      <w:r w:rsidR="00B90978" w:rsidRPr="001724C6">
        <w:rPr>
          <w:color w:val="000000" w:themeColor="text1"/>
          <w:lang w:val="en-GB"/>
        </w:rPr>
        <w:t>1):</w:t>
      </w:r>
    </w:p>
    <w:p w14:paraId="6AFD1167" w14:textId="77777777" w:rsidR="00B90978" w:rsidRPr="001724C6" w:rsidRDefault="00B90978" w:rsidP="006B4528">
      <w:pPr>
        <w:pStyle w:val="MDPI31text"/>
        <w:ind w:left="0" w:firstLine="0"/>
        <w:rPr>
          <w:color w:val="000000" w:themeColor="text1"/>
          <w:lang w:val="en-GB"/>
        </w:rPr>
      </w:pPr>
    </w:p>
    <w:p w14:paraId="09918BC4" w14:textId="5E91888F" w:rsidR="00B90978" w:rsidRPr="001724C6" w:rsidRDefault="00000000" w:rsidP="006B4528">
      <w:pPr>
        <w:pStyle w:val="MDPI31text"/>
        <w:ind w:left="0"/>
        <w:rPr>
          <w:color w:val="000000" w:themeColor="text1"/>
          <w:sz w:val="18"/>
          <w:szCs w:val="18"/>
        </w:rPr>
      </w:pPr>
      <m:oMathPara>
        <m:oMath>
          <m:sSub>
            <m:sSubPr>
              <m:ctrlPr>
                <w:rPr>
                  <w:rFonts w:ascii="Cambria Math" w:hAnsi="Cambria Math"/>
                  <w:color w:val="000000" w:themeColor="text1"/>
                  <w:szCs w:val="20"/>
                </w:rPr>
              </m:ctrlPr>
            </m:sSubPr>
            <m:e>
              <m:r>
                <m:rPr>
                  <m:sty m:val="p"/>
                </m:rPr>
                <w:rPr>
                  <w:rFonts w:ascii="Cambria Math" w:hAnsi="Cambria Math"/>
                  <w:color w:val="000000" w:themeColor="text1"/>
                  <w:szCs w:val="20"/>
                </w:rPr>
                <m:t>INDEX</m:t>
              </m:r>
            </m:e>
            <m:sub>
              <m:r>
                <m:rPr>
                  <m:sty m:val="p"/>
                </m:rPr>
                <w:rPr>
                  <w:rFonts w:ascii="Cambria Math" w:hAnsi="Cambria Math"/>
                  <w:color w:val="000000" w:themeColor="text1"/>
                  <w:szCs w:val="20"/>
                  <w:vertAlign w:val="subscript"/>
                </w:rPr>
                <m:t>SIM</m:t>
              </m:r>
            </m:sub>
          </m:sSub>
          <m:r>
            <w:rPr>
              <w:rFonts w:ascii="Cambria Math" w:hAnsi="Cambria Math"/>
              <w:color w:val="000000" w:themeColor="text1"/>
              <w:szCs w:val="20"/>
            </w:rPr>
            <m:t>=</m:t>
          </m:r>
          <m:d>
            <m:dPr>
              <m:ctrlPr>
                <w:rPr>
                  <w:rFonts w:ascii="Cambria Math" w:hAnsi="Cambria Math"/>
                  <w:i/>
                  <w:color w:val="000000" w:themeColor="text1"/>
                  <w:szCs w:val="20"/>
                </w:rPr>
              </m:ctrlPr>
            </m:dPr>
            <m:e>
              <m:f>
                <m:fPr>
                  <m:ctrlPr>
                    <w:rPr>
                      <w:rFonts w:ascii="Cambria Math" w:hAnsi="Cambria Math"/>
                      <w:i/>
                      <w:color w:val="000000" w:themeColor="text1"/>
                      <w:szCs w:val="20"/>
                    </w:rPr>
                  </m:ctrlPr>
                </m:fPr>
                <m:num>
                  <m:sSub>
                    <m:sSubPr>
                      <m:ctrlPr>
                        <w:rPr>
                          <w:rFonts w:ascii="Cambria Math" w:hAnsi="Cambria Math"/>
                          <w:i/>
                          <w:color w:val="000000" w:themeColor="text1"/>
                          <w:szCs w:val="20"/>
                        </w:rPr>
                      </m:ctrlPr>
                    </m:sSubPr>
                    <m:e>
                      <m:acc>
                        <m:accPr>
                          <m:chr m:val="̅"/>
                          <m:ctrlPr>
                            <w:rPr>
                              <w:rFonts w:ascii="Cambria Math" w:hAnsi="Cambria Math"/>
                              <w:i/>
                              <w:color w:val="000000" w:themeColor="text1"/>
                              <w:szCs w:val="20"/>
                            </w:rPr>
                          </m:ctrlPr>
                        </m:accPr>
                        <m:e>
                          <m:r>
                            <w:rPr>
                              <w:rFonts w:ascii="Cambria Math" w:hAnsi="Cambria Math"/>
                              <w:color w:val="000000" w:themeColor="text1"/>
                              <w:szCs w:val="20"/>
                            </w:rPr>
                            <m:t>LAG</m:t>
                          </m:r>
                        </m:e>
                      </m:acc>
                    </m:e>
                    <m:sub>
                      <m:r>
                        <w:rPr>
                          <w:rFonts w:ascii="Cambria Math" w:hAnsi="Cambria Math"/>
                          <w:color w:val="000000" w:themeColor="text1"/>
                          <w:szCs w:val="20"/>
                        </w:rPr>
                        <m:t>OVER</m:t>
                      </m:r>
                    </m:sub>
                  </m:sSub>
                  <m:r>
                    <w:rPr>
                      <w:rFonts w:ascii="Cambria Math" w:hAnsi="Cambria Math"/>
                      <w:color w:val="000000" w:themeColor="text1"/>
                      <w:szCs w:val="20"/>
                    </w:rPr>
                    <m:t xml:space="preserve"> + </m:t>
                  </m:r>
                  <m:sSub>
                    <m:sSubPr>
                      <m:ctrlPr>
                        <w:rPr>
                          <w:rFonts w:ascii="Cambria Math" w:hAnsi="Cambria Math"/>
                          <w:i/>
                          <w:color w:val="000000" w:themeColor="text1"/>
                          <w:szCs w:val="20"/>
                        </w:rPr>
                      </m:ctrlPr>
                    </m:sSubPr>
                    <m:e>
                      <m:acc>
                        <m:accPr>
                          <m:chr m:val="̅"/>
                          <m:ctrlPr>
                            <w:rPr>
                              <w:rFonts w:ascii="Cambria Math" w:hAnsi="Cambria Math"/>
                              <w:i/>
                              <w:color w:val="000000" w:themeColor="text1"/>
                              <w:szCs w:val="20"/>
                            </w:rPr>
                          </m:ctrlPr>
                        </m:accPr>
                        <m:e>
                          <m:r>
                            <w:rPr>
                              <w:rFonts w:ascii="Cambria Math" w:hAnsi="Cambria Math"/>
                              <w:color w:val="000000" w:themeColor="text1"/>
                              <w:szCs w:val="20"/>
                            </w:rPr>
                            <m:t>LAG</m:t>
                          </m:r>
                        </m:e>
                      </m:acc>
                    </m:e>
                    <m:sub>
                      <m:r>
                        <w:rPr>
                          <w:rFonts w:ascii="Cambria Math" w:hAnsi="Cambria Math"/>
                          <w:color w:val="000000" w:themeColor="text1"/>
                          <w:szCs w:val="20"/>
                        </w:rPr>
                        <m:t>UNDER</m:t>
                      </m:r>
                    </m:sub>
                  </m:sSub>
                </m:num>
                <m:den>
                  <m:r>
                    <w:rPr>
                      <w:rFonts w:ascii="Cambria Math" w:hAnsi="Cambria Math"/>
                      <w:color w:val="000000" w:themeColor="text1"/>
                      <w:szCs w:val="20"/>
                    </w:rPr>
                    <m:t>2</m:t>
                  </m:r>
                </m:den>
              </m:f>
            </m:e>
          </m:d>
          <m:r>
            <m:rPr>
              <m:lit/>
            </m:rPr>
            <w:rPr>
              <w:rFonts w:ascii="Cambria Math" w:hAnsi="Cambria Math"/>
              <w:color w:val="000000" w:themeColor="text1"/>
              <w:szCs w:val="20"/>
            </w:rPr>
            <m:t>*</m:t>
          </m:r>
          <m:r>
            <w:rPr>
              <w:rFonts w:ascii="Cambria Math" w:hAnsi="Cambria Math"/>
              <w:color w:val="000000" w:themeColor="text1"/>
              <w:szCs w:val="20"/>
            </w:rPr>
            <m:t xml:space="preserve">penalty          </m:t>
          </m:r>
          <m:r>
            <m:rPr>
              <m:sty m:val="p"/>
            </m:rPr>
            <w:rPr>
              <w:rFonts w:ascii="Cambria Math" w:hAnsi="Cambria Math"/>
              <w:color w:val="000000" w:themeColor="text1"/>
              <w:szCs w:val="20"/>
            </w:rPr>
            <m:t>Eq. (</m:t>
          </m:r>
          <m:r>
            <m:rPr>
              <m:sty m:val="p"/>
            </m:rPr>
            <w:rPr>
              <w:rFonts w:ascii="Cambria Math" w:hAnsi="Cambria Math"/>
              <w:color w:val="000000" w:themeColor="text1"/>
              <w:szCs w:val="20"/>
            </w:rPr>
            <m:t>S.</m:t>
          </m:r>
          <m:r>
            <m:rPr>
              <m:sty m:val="p"/>
            </m:rPr>
            <w:rPr>
              <w:rFonts w:ascii="Cambria Math" w:hAnsi="Cambria Math"/>
              <w:color w:val="000000" w:themeColor="text1"/>
              <w:szCs w:val="20"/>
            </w:rPr>
            <m:t>1)</m:t>
          </m:r>
        </m:oMath>
      </m:oMathPara>
    </w:p>
    <w:p w14:paraId="2FAB8EAF" w14:textId="77777777" w:rsidR="00B90978" w:rsidRPr="001724C6" w:rsidRDefault="00B90978" w:rsidP="006B4528">
      <w:pPr>
        <w:pStyle w:val="MDPI31text"/>
        <w:ind w:left="0" w:firstLine="0"/>
        <w:rPr>
          <w:color w:val="000000" w:themeColor="text1"/>
          <w:sz w:val="18"/>
          <w:szCs w:val="18"/>
        </w:rPr>
      </w:pPr>
      <w:r w:rsidRPr="001724C6">
        <w:rPr>
          <w:color w:val="000000" w:themeColor="text1"/>
          <w:sz w:val="18"/>
          <w:szCs w:val="18"/>
        </w:rPr>
        <w:tab/>
      </w:r>
      <w:r w:rsidRPr="001724C6">
        <w:rPr>
          <w:color w:val="000000" w:themeColor="text1"/>
          <w:sz w:val="18"/>
          <w:szCs w:val="18"/>
        </w:rPr>
        <w:tab/>
      </w:r>
      <w:r w:rsidRPr="001724C6">
        <w:rPr>
          <w:color w:val="000000" w:themeColor="text1"/>
          <w:sz w:val="18"/>
          <w:szCs w:val="18"/>
        </w:rPr>
        <w:tab/>
      </w:r>
      <w:r w:rsidRPr="001724C6">
        <w:rPr>
          <w:color w:val="000000" w:themeColor="text1"/>
          <w:sz w:val="18"/>
          <w:szCs w:val="18"/>
        </w:rPr>
        <w:tab/>
      </w:r>
      <w:r w:rsidRPr="001724C6">
        <w:rPr>
          <w:color w:val="000000" w:themeColor="text1"/>
          <w:sz w:val="18"/>
          <w:szCs w:val="18"/>
        </w:rPr>
        <w:tab/>
      </w:r>
    </w:p>
    <w:p w14:paraId="53C2633B" w14:textId="6365A7BF" w:rsidR="0081531C" w:rsidRPr="001724C6" w:rsidRDefault="00B90978" w:rsidP="006B4528">
      <w:pPr>
        <w:pStyle w:val="MDPI31text"/>
        <w:ind w:left="0" w:firstLine="0"/>
        <w:rPr>
          <w:color w:val="000000" w:themeColor="text1"/>
          <w:szCs w:val="20"/>
        </w:rPr>
      </w:pPr>
      <w:r w:rsidRPr="001724C6">
        <w:rPr>
          <w:color w:val="000000" w:themeColor="text1"/>
          <w:szCs w:val="20"/>
        </w:rPr>
        <w:t>in which barred quantities are the mean values and the penalty factor is computed as</w:t>
      </w:r>
    </w:p>
    <w:p w14:paraId="49E8D8DD" w14:textId="77777777" w:rsidR="00B90978" w:rsidRPr="001724C6" w:rsidRDefault="00B90978" w:rsidP="006B4528">
      <w:pPr>
        <w:pStyle w:val="MDPI31text"/>
        <w:ind w:left="0" w:firstLine="0"/>
        <w:rPr>
          <w:color w:val="000000" w:themeColor="text1"/>
          <w:szCs w:val="20"/>
        </w:rPr>
      </w:pPr>
    </w:p>
    <w:p w14:paraId="5CEB55F3" w14:textId="4DE13802" w:rsidR="00B90978" w:rsidRPr="0081531C" w:rsidRDefault="00B90978" w:rsidP="006B4528">
      <w:pPr>
        <w:jc w:val="both"/>
        <w:rPr>
          <w:rFonts w:eastAsiaTheme="minorEastAsia"/>
          <w:color w:val="000000" w:themeColor="text1"/>
          <w:sz w:val="18"/>
          <w:szCs w:val="18"/>
        </w:rPr>
      </w:pPr>
      <m:oMathPara>
        <m:oMath>
          <m:r>
            <w:rPr>
              <w:rFonts w:ascii="Cambria Math" w:hAnsi="Cambria Math"/>
              <w:color w:val="000000" w:themeColor="text1"/>
              <w:sz w:val="18"/>
              <w:szCs w:val="18"/>
            </w:rPr>
            <m:t>penalty=</m:t>
          </m:r>
          <m:d>
            <m:dPr>
              <m:begChr m:val="{"/>
              <m:endChr m:val=""/>
              <m:ctrlPr>
                <w:rPr>
                  <w:rFonts w:ascii="Cambria Math" w:hAnsi="Cambria Math"/>
                  <w:i/>
                  <w:color w:val="000000" w:themeColor="text1"/>
                  <w:sz w:val="18"/>
                  <w:szCs w:val="18"/>
                </w:rPr>
              </m:ctrlPr>
            </m:dPr>
            <m:e>
              <m:eqArr>
                <m:eqArrPr>
                  <m:ctrlPr>
                    <w:rPr>
                      <w:rFonts w:ascii="Cambria Math" w:hAnsi="Cambria Math"/>
                      <w:i/>
                      <w:color w:val="000000" w:themeColor="text1"/>
                      <w:sz w:val="18"/>
                      <w:szCs w:val="18"/>
                    </w:rPr>
                  </m:ctrlPr>
                </m:eqArrPr>
                <m:e>
                  <m:r>
                    <w:rPr>
                      <w:rFonts w:ascii="Cambria Math" w:hAnsi="Cambria Math"/>
                      <w:color w:val="000000" w:themeColor="text1"/>
                      <w:sz w:val="18"/>
                      <w:szCs w:val="18"/>
                    </w:rPr>
                    <m:t>SINGL</m:t>
                  </m:r>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E</m:t>
                      </m:r>
                    </m:e>
                    <m:sub>
                      <m:r>
                        <w:rPr>
                          <w:rFonts w:ascii="Cambria Math" w:hAnsi="Cambria Math"/>
                          <w:color w:val="000000" w:themeColor="text1"/>
                          <w:sz w:val="18"/>
                          <w:szCs w:val="18"/>
                        </w:rPr>
                        <m:t>COUNT</m:t>
                      </m:r>
                    </m:sub>
                  </m:sSub>
                  <m:r>
                    <w:rPr>
                      <w:rFonts w:ascii="Cambria Math" w:hAnsi="Cambria Math"/>
                      <w:color w:val="000000" w:themeColor="text1"/>
                      <w:sz w:val="18"/>
                      <w:szCs w:val="18"/>
                    </w:rPr>
                    <m:t>,  &amp;SINGL</m:t>
                  </m:r>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E</m:t>
                      </m:r>
                    </m:e>
                    <m:sub>
                      <m:r>
                        <w:rPr>
                          <w:rFonts w:ascii="Cambria Math" w:hAnsi="Cambria Math"/>
                          <w:color w:val="000000" w:themeColor="text1"/>
                          <w:sz w:val="18"/>
                          <w:szCs w:val="18"/>
                        </w:rPr>
                        <m:t>COUNT</m:t>
                      </m:r>
                    </m:sub>
                  </m:sSub>
                  <m:r>
                    <w:rPr>
                      <w:rFonts w:ascii="Cambria Math" w:hAnsi="Cambria Math"/>
                      <w:color w:val="000000" w:themeColor="text1"/>
                      <w:sz w:val="18"/>
                      <w:szCs w:val="18"/>
                    </w:rPr>
                    <m:t>&gt;0</m:t>
                  </m:r>
                </m:e>
                <m:e>
                  <m:r>
                    <w:rPr>
                      <w:rFonts w:ascii="Cambria Math" w:hAnsi="Cambria Math"/>
                      <w:color w:val="000000" w:themeColor="text1"/>
                      <w:sz w:val="18"/>
                      <w:szCs w:val="18"/>
                    </w:rPr>
                    <m:t>1,  &amp;SINGL</m:t>
                  </m:r>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E</m:t>
                      </m:r>
                    </m:e>
                    <m:sub>
                      <m:r>
                        <w:rPr>
                          <w:rFonts w:ascii="Cambria Math" w:hAnsi="Cambria Math"/>
                          <w:color w:val="000000" w:themeColor="text1"/>
                          <w:sz w:val="18"/>
                          <w:szCs w:val="18"/>
                        </w:rPr>
                        <m:t>COUNT</m:t>
                      </m:r>
                    </m:sub>
                  </m:sSub>
                  <m:r>
                    <w:rPr>
                      <w:rFonts w:ascii="Cambria Math" w:hAnsi="Cambria Math"/>
                      <w:color w:val="000000" w:themeColor="text1"/>
                      <w:sz w:val="18"/>
                      <w:szCs w:val="18"/>
                    </w:rPr>
                    <m:t>=0</m:t>
                  </m:r>
                </m:e>
              </m:eqArr>
            </m:e>
          </m:d>
        </m:oMath>
      </m:oMathPara>
    </w:p>
    <w:p w14:paraId="542E7499" w14:textId="34D45177" w:rsidR="0081531C" w:rsidRDefault="0081531C" w:rsidP="006B4528">
      <w:pPr>
        <w:jc w:val="both"/>
        <w:rPr>
          <w:rFonts w:eastAsiaTheme="minorEastAsia"/>
          <w:color w:val="000000" w:themeColor="text1"/>
          <w:sz w:val="18"/>
          <w:szCs w:val="18"/>
        </w:rPr>
      </w:pPr>
    </w:p>
    <w:p w14:paraId="50461600" w14:textId="77777777" w:rsidR="0081531C" w:rsidRPr="0081531C" w:rsidRDefault="0081531C" w:rsidP="006B4528">
      <w:pPr>
        <w:jc w:val="both"/>
        <w:rPr>
          <w:rFonts w:ascii="Palatino Linotype" w:eastAsiaTheme="minorEastAsia" w:hAnsi="Palatino Linotype"/>
          <w:color w:val="000000" w:themeColor="text1"/>
          <w:sz w:val="20"/>
          <w:szCs w:val="20"/>
        </w:rPr>
      </w:pPr>
    </w:p>
    <w:p w14:paraId="095E36FF" w14:textId="0D1BC2A9" w:rsidR="0081531C" w:rsidRPr="006B4528" w:rsidRDefault="0081531C" w:rsidP="006B4528">
      <w:pPr>
        <w:jc w:val="both"/>
        <w:rPr>
          <w:rFonts w:ascii="Palatino Linotype" w:eastAsiaTheme="minorEastAsia" w:hAnsi="Palatino Linotype"/>
          <w:color w:val="000000" w:themeColor="text1"/>
          <w:sz w:val="20"/>
          <w:szCs w:val="20"/>
          <w:lang w:val="en-US"/>
        </w:rPr>
      </w:pPr>
      <w:r w:rsidRPr="0081531C">
        <w:rPr>
          <w:rFonts w:ascii="Palatino Linotype" w:eastAsiaTheme="minorEastAsia" w:hAnsi="Palatino Linotype"/>
          <w:color w:val="000000" w:themeColor="text1"/>
          <w:sz w:val="20"/>
          <w:szCs w:val="20"/>
          <w:lang w:val="en-US"/>
        </w:rPr>
        <w:lastRenderedPageBreak/>
        <w:t>As described in the p</w:t>
      </w:r>
      <w:r>
        <w:rPr>
          <w:rFonts w:ascii="Palatino Linotype" w:eastAsiaTheme="minorEastAsia" w:hAnsi="Palatino Linotype"/>
          <w:color w:val="000000" w:themeColor="text1"/>
          <w:sz w:val="20"/>
          <w:szCs w:val="20"/>
          <w:lang w:val="en-US"/>
        </w:rPr>
        <w:t xml:space="preserve">aper, </w:t>
      </w:r>
      <w:r w:rsidR="006B4528">
        <w:rPr>
          <w:rFonts w:ascii="Palatino Linotype" w:eastAsiaTheme="minorEastAsia" w:hAnsi="Palatino Linotype"/>
          <w:color w:val="000000" w:themeColor="text1"/>
          <w:sz w:val="20"/>
          <w:szCs w:val="20"/>
          <w:lang w:val="en-US"/>
        </w:rPr>
        <w:t>i</w:t>
      </w:r>
      <w:r w:rsidR="006B4528" w:rsidRPr="006B4528">
        <w:rPr>
          <w:rFonts w:ascii="Palatino Linotype" w:eastAsiaTheme="minorEastAsia" w:hAnsi="Palatino Linotype"/>
          <w:color w:val="000000" w:themeColor="text1"/>
          <w:sz w:val="20"/>
          <w:szCs w:val="20"/>
          <w:lang w:val="en-US"/>
        </w:rPr>
        <w:t xml:space="preserve">ts value </w:t>
      </w:r>
      <w:r w:rsidR="006B4528">
        <w:rPr>
          <w:rFonts w:ascii="Palatino Linotype" w:eastAsiaTheme="minorEastAsia" w:hAnsi="Palatino Linotype"/>
          <w:color w:val="000000" w:themeColor="text1"/>
          <w:sz w:val="20"/>
          <w:szCs w:val="20"/>
          <w:lang w:val="en-US"/>
        </w:rPr>
        <w:t>get</w:t>
      </w:r>
      <w:r w:rsidR="006B4528" w:rsidRPr="006B4528">
        <w:rPr>
          <w:rFonts w:ascii="Palatino Linotype" w:eastAsiaTheme="minorEastAsia" w:hAnsi="Palatino Linotype"/>
          <w:color w:val="000000" w:themeColor="text1"/>
          <w:sz w:val="20"/>
          <w:szCs w:val="20"/>
          <w:lang w:val="en-US"/>
        </w:rPr>
        <w:t>s close to 0 for good time alignment in the relevant motion instants</w:t>
      </w:r>
      <w:r w:rsidR="006B4528">
        <w:rPr>
          <w:rFonts w:ascii="Palatino Linotype" w:eastAsiaTheme="minorEastAsia" w:hAnsi="Palatino Linotype"/>
          <w:color w:val="000000" w:themeColor="text1"/>
          <w:sz w:val="20"/>
          <w:szCs w:val="20"/>
          <w:lang w:val="en-US"/>
        </w:rPr>
        <w:t xml:space="preserve"> (crossing of the </w:t>
      </w:r>
      <w:r w:rsidR="006B4528" w:rsidRPr="006B4528">
        <w:rPr>
          <w:rFonts w:ascii="Palatino Linotype" w:eastAsiaTheme="minorEastAsia" w:hAnsi="Palatino Linotype"/>
          <w:color w:val="000000" w:themeColor="text1"/>
          <w:sz w:val="20"/>
          <w:szCs w:val="20"/>
          <w:lang w:val="en-US"/>
        </w:rPr>
        <w:t>ARM</w:t>
      </w:r>
      <w:r w:rsidR="006B4528" w:rsidRPr="006B4528">
        <w:rPr>
          <w:rFonts w:ascii="Palatino Linotype" w:eastAsiaTheme="minorEastAsia" w:hAnsi="Palatino Linotype"/>
          <w:color w:val="000000" w:themeColor="text1"/>
          <w:sz w:val="20"/>
          <w:szCs w:val="20"/>
          <w:vertAlign w:val="subscript"/>
          <w:lang w:val="en-US"/>
        </w:rPr>
        <w:t>MINANG</w:t>
      </w:r>
      <w:r w:rsidR="006B4528">
        <w:rPr>
          <w:rFonts w:ascii="Palatino Linotype" w:eastAsiaTheme="minorEastAsia" w:hAnsi="Palatino Linotype"/>
          <w:color w:val="000000" w:themeColor="text1"/>
          <w:sz w:val="20"/>
          <w:szCs w:val="20"/>
          <w:lang w:val="en-US"/>
        </w:rPr>
        <w:t xml:space="preserve"> threshold)</w:t>
      </w:r>
      <w:r w:rsidR="006B4528" w:rsidRPr="006B4528">
        <w:rPr>
          <w:rFonts w:ascii="Palatino Linotype" w:eastAsiaTheme="minorEastAsia" w:hAnsi="Palatino Linotype"/>
          <w:color w:val="000000" w:themeColor="text1"/>
          <w:sz w:val="20"/>
          <w:szCs w:val="20"/>
          <w:lang w:val="en-US"/>
        </w:rPr>
        <w:t>, otherwise</w:t>
      </w:r>
      <w:r w:rsidR="00751520">
        <w:rPr>
          <w:rFonts w:ascii="Palatino Linotype" w:eastAsiaTheme="minorEastAsia" w:hAnsi="Palatino Linotype"/>
          <w:color w:val="000000" w:themeColor="text1"/>
          <w:sz w:val="20"/>
          <w:szCs w:val="20"/>
          <w:lang w:val="en-US"/>
        </w:rPr>
        <w:t>,</w:t>
      </w:r>
      <w:r w:rsidR="006B4528" w:rsidRPr="006B4528">
        <w:rPr>
          <w:rFonts w:ascii="Palatino Linotype" w:eastAsiaTheme="minorEastAsia" w:hAnsi="Palatino Linotype"/>
          <w:color w:val="000000" w:themeColor="text1"/>
          <w:sz w:val="20"/>
          <w:szCs w:val="20"/>
          <w:lang w:val="en-US"/>
        </w:rPr>
        <w:t xml:space="preserve"> it gets larger</w:t>
      </w:r>
      <w:r w:rsidR="006B4528">
        <w:rPr>
          <w:rFonts w:ascii="Palatino Linotype" w:eastAsiaTheme="minorEastAsia" w:hAnsi="Palatino Linotype"/>
          <w:color w:val="000000" w:themeColor="text1"/>
          <w:sz w:val="20"/>
          <w:szCs w:val="20"/>
          <w:lang w:val="en-US"/>
        </w:rPr>
        <w:t xml:space="preserve"> and larger</w:t>
      </w:r>
      <w:r w:rsidR="006B4528" w:rsidRPr="006B4528">
        <w:rPr>
          <w:rFonts w:ascii="Palatino Linotype" w:eastAsiaTheme="minorEastAsia" w:hAnsi="Palatino Linotype"/>
          <w:color w:val="000000" w:themeColor="text1"/>
          <w:sz w:val="20"/>
          <w:szCs w:val="20"/>
          <w:lang w:val="en-US"/>
        </w:rPr>
        <w:t xml:space="preserve"> according to the desynchronization level. Single arm raises, if present, penalize the result through amplification of the value</w:t>
      </w:r>
      <w:r w:rsidR="00F75CAF">
        <w:rPr>
          <w:rFonts w:ascii="Palatino Linotype" w:eastAsiaTheme="minorEastAsia" w:hAnsi="Palatino Linotype"/>
          <w:color w:val="000000" w:themeColor="text1"/>
          <w:sz w:val="20"/>
          <w:szCs w:val="20"/>
          <w:lang w:val="en-US"/>
        </w:rPr>
        <w:t xml:space="preserve"> (</w:t>
      </w:r>
      <m:oMath>
        <m:r>
          <w:rPr>
            <w:rFonts w:ascii="Cambria Math" w:hAnsi="Cambria Math"/>
            <w:color w:val="000000" w:themeColor="text1"/>
            <w:sz w:val="18"/>
            <w:szCs w:val="18"/>
          </w:rPr>
          <m:t>penalty</m:t>
        </m:r>
      </m:oMath>
      <w:r w:rsidR="00F75CAF">
        <w:rPr>
          <w:rFonts w:ascii="Palatino Linotype" w:eastAsiaTheme="minorEastAsia" w:hAnsi="Palatino Linotype"/>
          <w:color w:val="000000" w:themeColor="text1"/>
          <w:sz w:val="20"/>
          <w:szCs w:val="20"/>
          <w:lang w:val="en-US"/>
        </w:rPr>
        <w:t>).</w:t>
      </w:r>
    </w:p>
    <w:p w14:paraId="40D7530A" w14:textId="5B96CBBB" w:rsidR="0081531C" w:rsidRDefault="0081531C" w:rsidP="0015784D">
      <w:pPr>
        <w:rPr>
          <w:lang w:val="en-US"/>
        </w:rPr>
      </w:pPr>
    </w:p>
    <w:p w14:paraId="6F988A9A" w14:textId="3F19E408" w:rsidR="00D26344" w:rsidRDefault="00D26344" w:rsidP="00D26344">
      <w:pPr>
        <w:pStyle w:val="MDPI12title"/>
        <w:numPr>
          <w:ilvl w:val="0"/>
          <w:numId w:val="1"/>
        </w:numPr>
        <w:ind w:left="142" w:hanging="426"/>
        <w:jc w:val="both"/>
      </w:pPr>
      <w:r w:rsidRPr="00D26344">
        <w:t>LA vs BB in PD subjects</w:t>
      </w:r>
      <w:r>
        <w:t xml:space="preserve"> </w:t>
      </w:r>
    </w:p>
    <w:p w14:paraId="339C69E6" w14:textId="77777777" w:rsidR="004533C9" w:rsidRDefault="00751520" w:rsidP="00412821">
      <w:pPr>
        <w:jc w:val="both"/>
        <w:rPr>
          <w:rFonts w:ascii="Palatino Linotype" w:hAnsi="Palatino Linotype"/>
          <w:sz w:val="20"/>
          <w:szCs w:val="20"/>
          <w:lang w:val="en-US" w:eastAsia="de-DE" w:bidi="en-US"/>
        </w:rPr>
      </w:pPr>
      <w:r w:rsidRPr="00751520">
        <w:rPr>
          <w:rFonts w:ascii="Palatino Linotype" w:hAnsi="Palatino Linotype"/>
          <w:sz w:val="20"/>
          <w:szCs w:val="20"/>
          <w:lang w:val="en-US" w:eastAsia="de-DE" w:bidi="en-US"/>
        </w:rPr>
        <w:t xml:space="preserve">From the </w:t>
      </w:r>
      <w:r>
        <w:rPr>
          <w:rFonts w:ascii="Palatino Linotype" w:hAnsi="Palatino Linotype"/>
          <w:sz w:val="20"/>
          <w:szCs w:val="20"/>
          <w:lang w:val="en-US" w:eastAsia="de-DE" w:bidi="en-US"/>
        </w:rPr>
        <w:t>subject-by-subject</w:t>
      </w:r>
      <w:r w:rsidRPr="00751520">
        <w:rPr>
          <w:rFonts w:ascii="Palatino Linotype" w:hAnsi="Palatino Linotype"/>
          <w:sz w:val="20"/>
          <w:szCs w:val="20"/>
          <w:lang w:val="en-US" w:eastAsia="de-DE" w:bidi="en-US"/>
        </w:rPr>
        <w:t xml:space="preserve"> comparison of responses in performing </w:t>
      </w:r>
      <w:r>
        <w:rPr>
          <w:rFonts w:ascii="Palatino Linotype" w:hAnsi="Palatino Linotype"/>
          <w:sz w:val="20"/>
          <w:szCs w:val="20"/>
          <w:lang w:val="en-US" w:eastAsia="de-DE" w:bidi="en-US"/>
        </w:rPr>
        <w:t>traditional Leg Agility (LA) and its gamified double, the Bouncing Ball exergame (BB)</w:t>
      </w:r>
      <w:r w:rsidR="004533C9">
        <w:rPr>
          <w:rFonts w:ascii="Palatino Linotype" w:hAnsi="Palatino Linotype"/>
          <w:sz w:val="20"/>
          <w:szCs w:val="20"/>
          <w:lang w:val="en-US" w:eastAsia="de-DE" w:bidi="en-US"/>
        </w:rPr>
        <w:t>,</w:t>
      </w:r>
      <w:r>
        <w:rPr>
          <w:rFonts w:ascii="Palatino Linotype" w:hAnsi="Palatino Linotype"/>
          <w:sz w:val="20"/>
          <w:szCs w:val="20"/>
          <w:lang w:val="en-US" w:eastAsia="de-DE" w:bidi="en-US"/>
        </w:rPr>
        <w:t xml:space="preserve"> we have identified two relevant cases that well summarize our findings</w:t>
      </w:r>
      <w:r w:rsidR="00412821">
        <w:rPr>
          <w:rFonts w:ascii="Palatino Linotype" w:hAnsi="Palatino Linotype"/>
          <w:sz w:val="20"/>
          <w:szCs w:val="20"/>
          <w:lang w:val="en-US" w:eastAsia="de-DE" w:bidi="en-US"/>
        </w:rPr>
        <w:t xml:space="preserve"> on the topic</w:t>
      </w:r>
      <w:r>
        <w:rPr>
          <w:rFonts w:ascii="Palatino Linotype" w:hAnsi="Palatino Linotype"/>
          <w:sz w:val="20"/>
          <w:szCs w:val="20"/>
          <w:lang w:val="en-US" w:eastAsia="de-DE" w:bidi="en-US"/>
        </w:rPr>
        <w:t xml:space="preserve">. </w:t>
      </w:r>
    </w:p>
    <w:p w14:paraId="3335799C" w14:textId="77777777" w:rsidR="004533C9" w:rsidRDefault="00751520" w:rsidP="004533C9">
      <w:pPr>
        <w:jc w:val="both"/>
        <w:rPr>
          <w:rFonts w:ascii="Palatino Linotype" w:hAnsi="Palatino Linotype"/>
          <w:sz w:val="20"/>
          <w:szCs w:val="20"/>
          <w:lang w:val="en-US" w:eastAsia="de-DE" w:bidi="en-US"/>
        </w:rPr>
      </w:pPr>
      <w:r>
        <w:rPr>
          <w:rFonts w:ascii="Palatino Linotype" w:hAnsi="Palatino Linotype"/>
          <w:sz w:val="20"/>
          <w:szCs w:val="20"/>
          <w:lang w:val="en-US" w:eastAsia="de-DE" w:bidi="en-US"/>
        </w:rPr>
        <w:t>The first example is Subject 5 (</w:t>
      </w:r>
      <w:r w:rsidR="005E13C3">
        <w:rPr>
          <w:rFonts w:ascii="Palatino Linotype" w:hAnsi="Palatino Linotype"/>
          <w:sz w:val="20"/>
          <w:szCs w:val="20"/>
          <w:lang w:val="en-US" w:eastAsia="de-DE" w:bidi="en-US"/>
        </w:rPr>
        <w:t>Video S</w:t>
      </w:r>
      <w:r w:rsidR="004533C9">
        <w:rPr>
          <w:rFonts w:ascii="Palatino Linotype" w:hAnsi="Palatino Linotype"/>
          <w:sz w:val="20"/>
          <w:szCs w:val="20"/>
          <w:lang w:val="en-US" w:eastAsia="de-DE" w:bidi="en-US"/>
        </w:rPr>
        <w:t>.</w:t>
      </w:r>
      <w:r w:rsidR="005E13C3">
        <w:rPr>
          <w:rFonts w:ascii="Palatino Linotype" w:hAnsi="Palatino Linotype"/>
          <w:sz w:val="20"/>
          <w:szCs w:val="20"/>
          <w:lang w:val="en-US" w:eastAsia="de-DE" w:bidi="en-US"/>
        </w:rPr>
        <w:t>1</w:t>
      </w:r>
      <w:r>
        <w:rPr>
          <w:rFonts w:ascii="Palatino Linotype" w:hAnsi="Palatino Linotype"/>
          <w:sz w:val="20"/>
          <w:szCs w:val="20"/>
          <w:lang w:val="en-US" w:eastAsia="de-DE" w:bidi="en-US"/>
        </w:rPr>
        <w:t xml:space="preserve">). Subject 5 performs almost identically </w:t>
      </w:r>
      <w:r w:rsidR="00412821">
        <w:rPr>
          <w:rFonts w:ascii="Palatino Linotype" w:hAnsi="Palatino Linotype"/>
          <w:sz w:val="20"/>
          <w:szCs w:val="20"/>
          <w:lang w:val="en-US" w:eastAsia="de-DE" w:bidi="en-US"/>
        </w:rPr>
        <w:t xml:space="preserve">in </w:t>
      </w:r>
      <w:r>
        <w:rPr>
          <w:rFonts w:ascii="Palatino Linotype" w:hAnsi="Palatino Linotype"/>
          <w:sz w:val="20"/>
          <w:szCs w:val="20"/>
          <w:lang w:val="en-US" w:eastAsia="de-DE" w:bidi="en-US"/>
        </w:rPr>
        <w:t xml:space="preserve">the two </w:t>
      </w:r>
      <w:r w:rsidR="005E13C3">
        <w:rPr>
          <w:rFonts w:ascii="Palatino Linotype" w:hAnsi="Palatino Linotype"/>
          <w:sz w:val="20"/>
          <w:szCs w:val="20"/>
          <w:lang w:val="en-US" w:eastAsia="de-DE" w:bidi="en-US"/>
        </w:rPr>
        <w:t>tasks;</w:t>
      </w:r>
      <w:r>
        <w:rPr>
          <w:rFonts w:ascii="Palatino Linotype" w:hAnsi="Palatino Linotype"/>
          <w:sz w:val="20"/>
          <w:szCs w:val="20"/>
          <w:lang w:val="en-US" w:eastAsia="de-DE" w:bidi="en-US"/>
        </w:rPr>
        <w:t xml:space="preserve"> hence the configuration of the game well suits his performance and the subject </w:t>
      </w:r>
      <w:r w:rsidR="007E2ED6">
        <w:rPr>
          <w:rFonts w:ascii="Palatino Linotype" w:hAnsi="Palatino Linotype"/>
          <w:sz w:val="20"/>
          <w:szCs w:val="20"/>
          <w:lang w:val="en-US" w:eastAsia="de-DE" w:bidi="en-US"/>
        </w:rPr>
        <w:t>him</w:t>
      </w:r>
      <w:r>
        <w:rPr>
          <w:rFonts w:ascii="Palatino Linotype" w:hAnsi="Palatino Linotype"/>
          <w:sz w:val="20"/>
          <w:szCs w:val="20"/>
          <w:lang w:val="en-US" w:eastAsia="de-DE" w:bidi="en-US"/>
        </w:rPr>
        <w:t xml:space="preserve">self does not alter </w:t>
      </w:r>
      <w:r w:rsidR="007E2ED6">
        <w:rPr>
          <w:rFonts w:ascii="Palatino Linotype" w:hAnsi="Palatino Linotype"/>
          <w:sz w:val="20"/>
          <w:szCs w:val="20"/>
          <w:lang w:val="en-US" w:eastAsia="de-DE" w:bidi="en-US"/>
        </w:rPr>
        <w:t>his behavior during the task</w:t>
      </w:r>
      <w:r>
        <w:rPr>
          <w:rFonts w:ascii="Palatino Linotype" w:hAnsi="Palatino Linotype"/>
          <w:sz w:val="20"/>
          <w:szCs w:val="20"/>
          <w:lang w:val="en-US" w:eastAsia="de-DE" w:bidi="en-US"/>
        </w:rPr>
        <w:t xml:space="preserve"> due to the gamified setting</w:t>
      </w:r>
      <w:r w:rsidR="007E2ED6">
        <w:rPr>
          <w:rFonts w:ascii="Palatino Linotype" w:hAnsi="Palatino Linotype"/>
          <w:sz w:val="20"/>
          <w:szCs w:val="20"/>
          <w:lang w:val="en-US" w:eastAsia="de-DE" w:bidi="en-US"/>
        </w:rPr>
        <w:t xml:space="preserve"> of BB</w:t>
      </w:r>
      <w:r>
        <w:rPr>
          <w:rFonts w:ascii="Palatino Linotype" w:hAnsi="Palatino Linotype"/>
          <w:sz w:val="20"/>
          <w:szCs w:val="20"/>
          <w:lang w:val="en-US" w:eastAsia="de-DE" w:bidi="en-US"/>
        </w:rPr>
        <w:t xml:space="preserve">. </w:t>
      </w:r>
    </w:p>
    <w:p w14:paraId="5F4DCCD0" w14:textId="36B6D00B" w:rsidR="00D26344" w:rsidRDefault="007E2ED6" w:rsidP="004533C9">
      <w:pPr>
        <w:jc w:val="both"/>
        <w:rPr>
          <w:rFonts w:ascii="Palatino Linotype" w:hAnsi="Palatino Linotype"/>
          <w:sz w:val="20"/>
          <w:szCs w:val="20"/>
          <w:lang w:val="en-US" w:eastAsia="de-DE" w:bidi="en-US"/>
        </w:rPr>
      </w:pPr>
      <w:r>
        <w:rPr>
          <w:rFonts w:ascii="Palatino Linotype" w:hAnsi="Palatino Linotype"/>
          <w:sz w:val="20"/>
          <w:szCs w:val="20"/>
          <w:lang w:val="en-US" w:eastAsia="de-DE" w:bidi="en-US"/>
        </w:rPr>
        <w:t>The second relevant case is Subject 16 (</w:t>
      </w:r>
      <w:r w:rsidR="005E13C3">
        <w:rPr>
          <w:rFonts w:ascii="Palatino Linotype" w:hAnsi="Palatino Linotype"/>
          <w:sz w:val="20"/>
          <w:szCs w:val="20"/>
          <w:lang w:val="en-US" w:eastAsia="de-DE" w:bidi="en-US"/>
        </w:rPr>
        <w:t>Video S</w:t>
      </w:r>
      <w:r w:rsidR="004533C9">
        <w:rPr>
          <w:rFonts w:ascii="Palatino Linotype" w:hAnsi="Palatino Linotype"/>
          <w:sz w:val="20"/>
          <w:szCs w:val="20"/>
          <w:lang w:val="en-US" w:eastAsia="de-DE" w:bidi="en-US"/>
        </w:rPr>
        <w:t>.</w:t>
      </w:r>
      <w:r w:rsidR="005E13C3">
        <w:rPr>
          <w:rFonts w:ascii="Palatino Linotype" w:hAnsi="Palatino Linotype"/>
          <w:sz w:val="20"/>
          <w:szCs w:val="20"/>
          <w:lang w:val="en-US" w:eastAsia="de-DE" w:bidi="en-US"/>
        </w:rPr>
        <w:t>2</w:t>
      </w:r>
      <w:r>
        <w:rPr>
          <w:rFonts w:ascii="Palatino Linotype" w:hAnsi="Palatino Linotype"/>
          <w:sz w:val="20"/>
          <w:szCs w:val="20"/>
          <w:lang w:val="en-US" w:eastAsia="de-DE" w:bidi="en-US"/>
        </w:rPr>
        <w:t xml:space="preserve">). Subject 16 follows two completely different strategies in the execution of the two tasks: in LA, a reduced amplitude, but </w:t>
      </w:r>
      <w:r w:rsidR="004533C9">
        <w:rPr>
          <w:rFonts w:ascii="Palatino Linotype" w:hAnsi="Palatino Linotype"/>
          <w:sz w:val="20"/>
          <w:szCs w:val="20"/>
          <w:lang w:val="en-US" w:eastAsia="de-DE" w:bidi="en-US"/>
        </w:rPr>
        <w:t xml:space="preserve">the </w:t>
      </w:r>
      <w:r>
        <w:rPr>
          <w:rFonts w:ascii="Palatino Linotype" w:hAnsi="Palatino Linotype"/>
          <w:sz w:val="20"/>
          <w:szCs w:val="20"/>
          <w:lang w:val="en-US" w:eastAsia="de-DE" w:bidi="en-US"/>
        </w:rPr>
        <w:t xml:space="preserve">fast movement is performed with the leg involved in the execution. In BB, instead, the subject raises his leg well above the height required by the game to hit the ball, so the gamified setting </w:t>
      </w:r>
      <w:r w:rsidR="00412821">
        <w:rPr>
          <w:rFonts w:ascii="Palatino Linotype" w:hAnsi="Palatino Linotype"/>
          <w:sz w:val="20"/>
          <w:szCs w:val="20"/>
          <w:lang w:val="en-US" w:eastAsia="de-DE" w:bidi="en-US"/>
        </w:rPr>
        <w:t>stimulates the subject to overact, thus eliciting a truer estimation of the maximum</w:t>
      </w:r>
      <w:r w:rsidR="004533C9">
        <w:rPr>
          <w:rFonts w:ascii="Palatino Linotype" w:hAnsi="Palatino Linotype"/>
          <w:sz w:val="20"/>
          <w:szCs w:val="20"/>
          <w:lang w:val="en-US" w:eastAsia="de-DE" w:bidi="en-US"/>
        </w:rPr>
        <w:t xml:space="preserve"> height</w:t>
      </w:r>
      <w:r w:rsidR="00412821">
        <w:rPr>
          <w:rFonts w:ascii="Palatino Linotype" w:hAnsi="Palatino Linotype"/>
          <w:sz w:val="20"/>
          <w:szCs w:val="20"/>
          <w:lang w:val="en-US" w:eastAsia="de-DE" w:bidi="en-US"/>
        </w:rPr>
        <w:t xml:space="preserve"> reachable </w:t>
      </w:r>
      <w:r w:rsidR="004533C9">
        <w:rPr>
          <w:rFonts w:ascii="Palatino Linotype" w:hAnsi="Palatino Linotype"/>
          <w:sz w:val="20"/>
          <w:szCs w:val="20"/>
          <w:lang w:val="en-US" w:eastAsia="de-DE" w:bidi="en-US"/>
        </w:rPr>
        <w:t>with</w:t>
      </w:r>
      <w:r w:rsidR="00412821">
        <w:rPr>
          <w:rFonts w:ascii="Palatino Linotype" w:hAnsi="Palatino Linotype"/>
          <w:sz w:val="20"/>
          <w:szCs w:val="20"/>
          <w:lang w:val="en-US" w:eastAsia="de-DE" w:bidi="en-US"/>
        </w:rPr>
        <w:t xml:space="preserve"> the </w:t>
      </w:r>
      <w:r w:rsidR="004533C9">
        <w:rPr>
          <w:rFonts w:ascii="Palatino Linotype" w:hAnsi="Palatino Linotype"/>
          <w:sz w:val="20"/>
          <w:szCs w:val="20"/>
          <w:lang w:val="en-US" w:eastAsia="de-DE" w:bidi="en-US"/>
        </w:rPr>
        <w:t>knee</w:t>
      </w:r>
      <w:r w:rsidR="00412821">
        <w:rPr>
          <w:rFonts w:ascii="Palatino Linotype" w:hAnsi="Palatino Linotype"/>
          <w:sz w:val="20"/>
          <w:szCs w:val="20"/>
          <w:lang w:val="en-US" w:eastAsia="de-DE" w:bidi="en-US"/>
        </w:rPr>
        <w:t xml:space="preserve">. This aspect would not have been shown by the subject in a normal LA execution but was solicited by the game. </w:t>
      </w:r>
    </w:p>
    <w:p w14:paraId="6468A6D9" w14:textId="77777777" w:rsidR="007E2ED6" w:rsidRPr="00751520" w:rsidRDefault="007E2ED6" w:rsidP="00D26344">
      <w:pPr>
        <w:rPr>
          <w:rFonts w:ascii="Palatino Linotype" w:hAnsi="Palatino Linotype"/>
          <w:sz w:val="20"/>
          <w:szCs w:val="20"/>
          <w:lang w:val="en-US" w:eastAsia="de-DE" w:bidi="en-US"/>
        </w:rPr>
      </w:pPr>
    </w:p>
    <w:p w14:paraId="33F40F23" w14:textId="02229EF0" w:rsidR="00D26344" w:rsidRPr="00751520" w:rsidRDefault="00D26344" w:rsidP="00D26344">
      <w:pPr>
        <w:rPr>
          <w:rFonts w:ascii="Palatino Linotype" w:hAnsi="Palatino Linotype"/>
          <w:lang w:val="en-US" w:eastAsia="de-DE" w:bidi="en-US"/>
        </w:rPr>
      </w:pPr>
    </w:p>
    <w:p w14:paraId="3EC6E8D8" w14:textId="77777777" w:rsidR="00D26344" w:rsidRPr="00D26344" w:rsidRDefault="00D26344" w:rsidP="00D26344">
      <w:pPr>
        <w:rPr>
          <w:lang w:val="en-US" w:eastAsia="de-DE" w:bidi="en-US"/>
        </w:rPr>
      </w:pPr>
    </w:p>
    <w:p w14:paraId="3BF2B729" w14:textId="77777777" w:rsidR="00D26344" w:rsidRPr="00D26344" w:rsidRDefault="00D26344" w:rsidP="00D26344">
      <w:pPr>
        <w:rPr>
          <w:lang w:val="en-US" w:eastAsia="de-DE" w:bidi="en-US"/>
        </w:rPr>
      </w:pPr>
    </w:p>
    <w:p w14:paraId="4312A06C" w14:textId="77777777" w:rsidR="006B4528" w:rsidRPr="00D26344" w:rsidRDefault="006B4528" w:rsidP="0015784D">
      <w:pPr>
        <w:rPr>
          <w:lang w:val="en-US"/>
        </w:rPr>
      </w:pPr>
    </w:p>
    <w:sectPr w:rsidR="006B4528" w:rsidRPr="00D2634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0F6D19"/>
    <w:multiLevelType w:val="hybridMultilevel"/>
    <w:tmpl w:val="CF56C78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43F49E1"/>
    <w:multiLevelType w:val="hybridMultilevel"/>
    <w:tmpl w:val="CF56C788"/>
    <w:lvl w:ilvl="0" w:tplc="1482086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E356E1D"/>
    <w:multiLevelType w:val="hybridMultilevel"/>
    <w:tmpl w:val="CF56C78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73369082">
    <w:abstractNumId w:val="1"/>
  </w:num>
  <w:num w:numId="2" w16cid:durableId="365178112">
    <w:abstractNumId w:val="2"/>
  </w:num>
  <w:num w:numId="3" w16cid:durableId="3468353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978"/>
    <w:rsid w:val="0015784D"/>
    <w:rsid w:val="001A1892"/>
    <w:rsid w:val="00265AD7"/>
    <w:rsid w:val="00412821"/>
    <w:rsid w:val="004533C9"/>
    <w:rsid w:val="005E13C3"/>
    <w:rsid w:val="006B4528"/>
    <w:rsid w:val="006E408A"/>
    <w:rsid w:val="00751520"/>
    <w:rsid w:val="007E2ED6"/>
    <w:rsid w:val="0081531C"/>
    <w:rsid w:val="008602D5"/>
    <w:rsid w:val="00B90978"/>
    <w:rsid w:val="00BA2D02"/>
    <w:rsid w:val="00D26344"/>
    <w:rsid w:val="00D77A81"/>
    <w:rsid w:val="00DF6CE6"/>
    <w:rsid w:val="00E47C82"/>
    <w:rsid w:val="00EE775A"/>
    <w:rsid w:val="00F75CAF"/>
    <w:rsid w:val="00FB2F7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276C54B6"/>
  <w15:chartTrackingRefBased/>
  <w15:docId w15:val="{8C83BFBF-F727-C043-9FBF-EC5D06C0C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MDPI31text">
    <w:name w:val="MDPI_3.1_text"/>
    <w:qFormat/>
    <w:rsid w:val="00B90978"/>
    <w:pPr>
      <w:adjustRightInd w:val="0"/>
      <w:snapToGrid w:val="0"/>
      <w:spacing w:line="228" w:lineRule="auto"/>
      <w:ind w:left="2608" w:firstLine="425"/>
      <w:jc w:val="both"/>
    </w:pPr>
    <w:rPr>
      <w:rFonts w:ascii="Palatino Linotype" w:eastAsia="Times New Roman" w:hAnsi="Palatino Linotype" w:cs="Times New Roman"/>
      <w:snapToGrid w:val="0"/>
      <w:color w:val="000000"/>
      <w:sz w:val="20"/>
      <w:szCs w:val="22"/>
      <w:lang w:val="en-US" w:eastAsia="de-DE" w:bidi="en-US"/>
    </w:rPr>
  </w:style>
  <w:style w:type="paragraph" w:customStyle="1" w:styleId="MDPI41tablecaption">
    <w:name w:val="MDPI_4.1_table_caption"/>
    <w:qFormat/>
    <w:rsid w:val="008602D5"/>
    <w:pPr>
      <w:adjustRightInd w:val="0"/>
      <w:snapToGrid w:val="0"/>
      <w:spacing w:before="240" w:after="120" w:line="228" w:lineRule="auto"/>
      <w:ind w:left="2608"/>
    </w:pPr>
    <w:rPr>
      <w:rFonts w:ascii="Palatino Linotype" w:eastAsia="Times New Roman" w:hAnsi="Palatino Linotype" w:cs="Cordia New"/>
      <w:color w:val="000000"/>
      <w:sz w:val="18"/>
      <w:szCs w:val="22"/>
      <w:lang w:val="en-US" w:eastAsia="de-DE" w:bidi="en-US"/>
    </w:rPr>
  </w:style>
  <w:style w:type="paragraph" w:customStyle="1" w:styleId="MDPI42tablebody">
    <w:name w:val="MDPI_4.2_table_body"/>
    <w:qFormat/>
    <w:rsid w:val="008602D5"/>
    <w:pPr>
      <w:adjustRightInd w:val="0"/>
      <w:snapToGrid w:val="0"/>
      <w:spacing w:line="260" w:lineRule="atLeast"/>
      <w:jc w:val="center"/>
    </w:pPr>
    <w:rPr>
      <w:rFonts w:ascii="Palatino Linotype" w:eastAsia="Times New Roman" w:hAnsi="Palatino Linotype" w:cs="Times New Roman"/>
      <w:snapToGrid w:val="0"/>
      <w:color w:val="000000"/>
      <w:sz w:val="20"/>
      <w:szCs w:val="20"/>
      <w:lang w:val="en-US" w:eastAsia="de-DE" w:bidi="en-US"/>
    </w:rPr>
  </w:style>
  <w:style w:type="paragraph" w:customStyle="1" w:styleId="MDPI12title">
    <w:name w:val="MDPI_1.2_title"/>
    <w:next w:val="Normale"/>
    <w:qFormat/>
    <w:rsid w:val="001A1892"/>
    <w:pPr>
      <w:adjustRightInd w:val="0"/>
      <w:snapToGrid w:val="0"/>
      <w:spacing w:after="240" w:line="240" w:lineRule="atLeast"/>
    </w:pPr>
    <w:rPr>
      <w:rFonts w:ascii="Palatino Linotype" w:eastAsia="Times New Roman" w:hAnsi="Palatino Linotype" w:cs="Times New Roman"/>
      <w:b/>
      <w:snapToGrid w:val="0"/>
      <w:color w:val="000000"/>
      <w:sz w:val="36"/>
      <w:szCs w:val="20"/>
      <w:lang w:val="en-US" w:eastAsia="de-DE" w:bidi="en-US"/>
    </w:rPr>
  </w:style>
  <w:style w:type="character" w:styleId="Rimandocommento">
    <w:name w:val="annotation reference"/>
    <w:uiPriority w:val="99"/>
    <w:rsid w:val="001A1892"/>
    <w:rPr>
      <w:sz w:val="21"/>
      <w:szCs w:val="21"/>
    </w:rPr>
  </w:style>
  <w:style w:type="paragraph" w:styleId="Testocommento">
    <w:name w:val="annotation text"/>
    <w:basedOn w:val="Normale"/>
    <w:link w:val="TestocommentoCarattere"/>
    <w:uiPriority w:val="99"/>
    <w:rsid w:val="001A1892"/>
    <w:pPr>
      <w:spacing w:line="260" w:lineRule="atLeast"/>
      <w:jc w:val="both"/>
    </w:pPr>
    <w:rPr>
      <w:rFonts w:ascii="Palatino Linotype" w:eastAsia="SimSun" w:hAnsi="Palatino Linotype" w:cs="Times New Roman"/>
      <w:color w:val="000000"/>
      <w:sz w:val="20"/>
      <w:szCs w:val="20"/>
      <w:lang w:val="en-US" w:eastAsia="zh-CN"/>
    </w:rPr>
  </w:style>
  <w:style w:type="character" w:customStyle="1" w:styleId="TestocommentoCarattere">
    <w:name w:val="Testo commento Carattere"/>
    <w:basedOn w:val="Carpredefinitoparagrafo"/>
    <w:link w:val="Testocommento"/>
    <w:uiPriority w:val="99"/>
    <w:rsid w:val="001A1892"/>
    <w:rPr>
      <w:rFonts w:ascii="Palatino Linotype" w:eastAsia="SimSun" w:hAnsi="Palatino Linotype" w:cs="Times New Roman"/>
      <w:color w:val="000000"/>
      <w:sz w:val="20"/>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550</Words>
  <Characters>3140</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AMPRIMO  GIANLUCA</dc:creator>
  <cp:keywords/>
  <dc:description/>
  <cp:lastModifiedBy>AMPRIMO  GIANLUCA</cp:lastModifiedBy>
  <cp:revision>4</cp:revision>
  <dcterms:created xsi:type="dcterms:W3CDTF">2022-09-14T08:39:00Z</dcterms:created>
  <dcterms:modified xsi:type="dcterms:W3CDTF">2022-09-19T12:04:00Z</dcterms:modified>
</cp:coreProperties>
</file>